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0DE1F1" w14:textId="529C1937" w:rsidR="00A11760" w:rsidRDefault="00A11760" w:rsidP="00A11760">
      <w:pPr>
        <w:pStyle w:val="3GPPHeader"/>
        <w:rPr>
          <w:rFonts w:eastAsia="Times New Roman" w:cs="Times New Roman"/>
          <w:sz w:val="20"/>
          <w:szCs w:val="20"/>
          <w:highlight w:val="yellow"/>
        </w:rPr>
      </w:pPr>
      <w:r>
        <w:t>3GPP TSG RAN WG1 Meeting #9</w:t>
      </w:r>
      <w:r w:rsidR="00245D11">
        <w:t>3</w:t>
      </w:r>
      <w:r>
        <w:tab/>
      </w:r>
      <w:r w:rsidR="00881488" w:rsidRPr="00881488">
        <w:t>R1-1806237</w:t>
      </w:r>
      <w:bookmarkStart w:id="0" w:name="_GoBack"/>
      <w:bookmarkEnd w:id="0"/>
    </w:p>
    <w:p w14:paraId="51A196DE" w14:textId="6C79C394" w:rsidR="00A11760" w:rsidRDefault="00245D11" w:rsidP="00A11760">
      <w:pPr>
        <w:pStyle w:val="3GPPHeader"/>
      </w:pPr>
      <w:r>
        <w:t>Busan</w:t>
      </w:r>
      <w:r w:rsidR="00A11760">
        <w:t xml:space="preserve">, </w:t>
      </w:r>
      <w:r>
        <w:t>South Korea</w:t>
      </w:r>
      <w:r w:rsidR="00A11760">
        <w:t xml:space="preserve">, </w:t>
      </w:r>
      <w:r>
        <w:t>21</w:t>
      </w:r>
      <w:r w:rsidR="00A11760">
        <w:rPr>
          <w:vertAlign w:val="superscript"/>
        </w:rPr>
        <w:t>th</w:t>
      </w:r>
      <w:r w:rsidR="00A11760">
        <w:t>-2</w:t>
      </w:r>
      <w:r>
        <w:t>5</w:t>
      </w:r>
      <w:r w:rsidR="00A11760">
        <w:rPr>
          <w:vertAlign w:val="superscript"/>
        </w:rPr>
        <w:t>th</w:t>
      </w:r>
      <w:r w:rsidR="00A11760">
        <w:t xml:space="preserve"> </w:t>
      </w:r>
      <w:r>
        <w:t>May</w:t>
      </w:r>
      <w:r w:rsidR="00A11760">
        <w:t>, 2018</w:t>
      </w:r>
    </w:p>
    <w:p w14:paraId="6A2E8161" w14:textId="77777777" w:rsidR="00E90E49" w:rsidRPr="00E062CC" w:rsidRDefault="00E90E49" w:rsidP="00357380">
      <w:pPr>
        <w:pStyle w:val="3GPPHeader"/>
      </w:pPr>
    </w:p>
    <w:p w14:paraId="1526567C" w14:textId="77777777" w:rsidR="00E90E49" w:rsidRPr="00E062CC" w:rsidRDefault="003D3C45" w:rsidP="00327997">
      <w:pPr>
        <w:pStyle w:val="3GPPHeader"/>
      </w:pPr>
      <w:r w:rsidRPr="00E062CC">
        <w:t>Source:</w:t>
      </w:r>
      <w:r w:rsidR="00E90E49" w:rsidRPr="00E062CC">
        <w:tab/>
      </w:r>
      <w:r w:rsidR="00F64C2B" w:rsidRPr="00E062CC">
        <w:t>Ericsson</w:t>
      </w:r>
    </w:p>
    <w:p w14:paraId="7AD08A44" w14:textId="01F070D2" w:rsidR="00E90E49" w:rsidRPr="00E062CC" w:rsidRDefault="003D3C45" w:rsidP="00327997">
      <w:pPr>
        <w:pStyle w:val="3GPPHeader"/>
      </w:pPr>
      <w:r w:rsidRPr="00E062CC">
        <w:t>Title:</w:t>
      </w:r>
      <w:r w:rsidR="00E90E49" w:rsidRPr="00E062CC">
        <w:tab/>
      </w:r>
      <w:r w:rsidR="00A543E3">
        <w:t>Evaluations of TRS periodicity</w:t>
      </w:r>
    </w:p>
    <w:p w14:paraId="2D554DE3" w14:textId="21525EA9" w:rsidR="00952A24" w:rsidRPr="00E062CC" w:rsidRDefault="00952A24" w:rsidP="00327997">
      <w:pPr>
        <w:pStyle w:val="3GPPHeader"/>
      </w:pPr>
      <w:r w:rsidRPr="00D579F1">
        <w:t>Agenda Item:</w:t>
      </w:r>
      <w:r w:rsidRPr="00D579F1">
        <w:tab/>
      </w:r>
      <w:r w:rsidR="002A1A7E" w:rsidRPr="00D579F1">
        <w:t>7.1.2.3</w:t>
      </w:r>
      <w:r w:rsidR="00A543E3" w:rsidRPr="00D579F1">
        <w:t>.8</w:t>
      </w:r>
    </w:p>
    <w:p w14:paraId="3C99C89E" w14:textId="77777777" w:rsidR="00E90E49" w:rsidRPr="00E062CC" w:rsidRDefault="00E90E49" w:rsidP="00E5689D">
      <w:pPr>
        <w:pStyle w:val="3GPPHeader"/>
      </w:pPr>
      <w:r w:rsidRPr="00E062CC">
        <w:t>Document for:</w:t>
      </w:r>
      <w:r w:rsidRPr="00E062CC">
        <w:tab/>
      </w:r>
      <w:r w:rsidR="00A15745" w:rsidRPr="00E062CC">
        <w:t>Discussion and</w:t>
      </w:r>
      <w:r w:rsidR="00952A24" w:rsidRPr="00E062CC">
        <w:t xml:space="preserve"> </w:t>
      </w:r>
      <w:r w:rsidRPr="00E062CC">
        <w:t>Decision</w:t>
      </w:r>
    </w:p>
    <w:p w14:paraId="72B2365A" w14:textId="77777777" w:rsidR="00E90E49" w:rsidRPr="00CE0424" w:rsidRDefault="007F75D5" w:rsidP="00CE0424">
      <w:pPr>
        <w:pStyle w:val="Heading1"/>
      </w:pPr>
      <w:r>
        <w:t>Introduction</w:t>
      </w:r>
    </w:p>
    <w:p w14:paraId="3E11721F" w14:textId="021DAA8D" w:rsidR="00F85293" w:rsidRPr="00C64E51" w:rsidRDefault="00F85293" w:rsidP="00F85293">
      <w:pPr>
        <w:pStyle w:val="BodyText"/>
      </w:pPr>
      <w:bookmarkStart w:id="1" w:name="_Ref178064866"/>
      <w:r>
        <w:t>In this auxiliary contribution, w</w:t>
      </w:r>
      <w:r w:rsidRPr="00C64E51">
        <w:t xml:space="preserve">e investigate the TRS burst periodicity and show that the periodicity values 20ms, 40ms and 80ms are sufficient for normal deployments as well as for high speed train deployments. </w:t>
      </w:r>
      <w:r>
        <w:t>Hence, there is no need to support additional periodicities below 10ms which is the smallest periodicity supported in NR.</w:t>
      </w:r>
    </w:p>
    <w:p w14:paraId="46C44117" w14:textId="5443554C" w:rsidR="002074FE" w:rsidRDefault="002074FE" w:rsidP="00CE0424">
      <w:pPr>
        <w:pStyle w:val="Heading1"/>
      </w:pPr>
      <w:r>
        <w:t>Discussion</w:t>
      </w:r>
    </w:p>
    <w:p w14:paraId="79D3A810" w14:textId="77777777" w:rsidR="00F85293" w:rsidRPr="007C661C" w:rsidRDefault="00F85293" w:rsidP="00F85293">
      <w:pPr>
        <w:pStyle w:val="Heading2"/>
        <w:tabs>
          <w:tab w:val="left" w:pos="1701"/>
          <w:tab w:val="right" w:pos="9639"/>
        </w:tabs>
        <w:overflowPunct/>
        <w:autoSpaceDE/>
        <w:autoSpaceDN/>
        <w:adjustRightInd/>
        <w:spacing w:line="259" w:lineRule="auto"/>
        <w:textAlignment w:val="auto"/>
      </w:pPr>
      <w:bookmarkStart w:id="2" w:name="_Ref494748577"/>
      <w:bookmarkStart w:id="3" w:name="_Ref503448604"/>
      <w:r>
        <w:t>TRS burst periodicity</w:t>
      </w:r>
      <w:bookmarkEnd w:id="2"/>
    </w:p>
    <w:p w14:paraId="47E35896" w14:textId="7D17CE53" w:rsidR="00F85293" w:rsidRPr="00C64E51" w:rsidRDefault="00F85293" w:rsidP="00F85293">
      <w:r>
        <w:t>The periodicities 20,40 and 80 ms has been agreed to be used for TRS in the general case and in addition th</w:t>
      </w:r>
      <w:r w:rsidR="00752BB8">
        <w:t>e 10ms for the special high-</w:t>
      </w:r>
      <w:r>
        <w:t>speed train case with UE speeds up to 500 km/h</w:t>
      </w:r>
      <w:r w:rsidRPr="00C64E51">
        <w:t xml:space="preserve">. </w:t>
      </w:r>
    </w:p>
    <w:p w14:paraId="77CA462F" w14:textId="5D9AFF42" w:rsidR="00F85293" w:rsidRPr="00C64E51" w:rsidRDefault="00F85293" w:rsidP="00F85293">
      <w:r w:rsidRPr="00C64E51">
        <w:t xml:space="preserve">In TR 38.913 and TR 38.802 scenarios for high speed trains (HST) are defined using separate scenarios for low frequencies (around 4GHz) and high frequencies (around 30GHz). </w:t>
      </w:r>
      <w:r>
        <w:t xml:space="preserve">A debated issue </w:t>
      </w:r>
      <w:r w:rsidRPr="00C64E51">
        <w:t>in RAN1 is whether the HST scenarios require a TRS burst periodicity smaller than 20ms but no company has provided any analysis so far on the required TRS periodicity for these scenarios. An analysis of the impacts on the time/frequency tracking and TRS from these scenarios in the subsections below.</w:t>
      </w:r>
    </w:p>
    <w:p w14:paraId="25F37528" w14:textId="77777777" w:rsidR="00F85293" w:rsidRPr="00C64E51" w:rsidRDefault="00F85293" w:rsidP="00F85293">
      <w:pPr>
        <w:pStyle w:val="Heading3"/>
        <w:tabs>
          <w:tab w:val="left" w:pos="1701"/>
          <w:tab w:val="right" w:pos="9639"/>
        </w:tabs>
        <w:overflowPunct/>
        <w:autoSpaceDE/>
        <w:autoSpaceDN/>
        <w:adjustRightInd/>
        <w:spacing w:line="259" w:lineRule="auto"/>
        <w:textAlignment w:val="auto"/>
        <w:rPr>
          <w:lang w:val="en-US"/>
        </w:rPr>
      </w:pPr>
      <w:r w:rsidRPr="00C64E51">
        <w:rPr>
          <w:lang w:val="en-US"/>
        </w:rPr>
        <w:t>High Speed Train (HST) scenario at 4 GHz</w:t>
      </w:r>
    </w:p>
    <w:p w14:paraId="07E25195" w14:textId="77777777" w:rsidR="00F85293" w:rsidRPr="00C64E51" w:rsidRDefault="00F85293" w:rsidP="00F85293">
      <w:r w:rsidRPr="00C64E51">
        <w:t xml:space="preserve">The high-speed train scenario for low frequencies is based on bidirectional Remote Radio Head (RRH) located linearly along the railroad track as described in </w:t>
      </w:r>
      <w:r w:rsidRPr="00C64E51">
        <w:rPr>
          <w:rFonts w:eastAsia="MS Mincho"/>
          <w:lang w:eastAsia="ja-JP"/>
        </w:rPr>
        <w:t xml:space="preserve">section 6.1.5 in </w:t>
      </w:r>
      <w:r>
        <w:rPr>
          <w:rFonts w:eastAsia="MS Mincho"/>
          <w:lang w:eastAsia="ja-JP"/>
        </w:rPr>
        <w:fldChar w:fldCharType="begin"/>
      </w:r>
      <w:r w:rsidRPr="00C64E51">
        <w:rPr>
          <w:rFonts w:eastAsia="MS Mincho"/>
          <w:lang w:eastAsia="ja-JP"/>
        </w:rPr>
        <w:instrText xml:space="preserve"> REF _Ref494464172 \r \h </w:instrText>
      </w:r>
      <w:r>
        <w:rPr>
          <w:rFonts w:eastAsia="MS Mincho"/>
          <w:lang w:eastAsia="ja-JP"/>
        </w:rPr>
      </w:r>
      <w:r>
        <w:rPr>
          <w:rFonts w:eastAsia="MS Mincho"/>
          <w:lang w:eastAsia="ja-JP"/>
        </w:rPr>
        <w:fldChar w:fldCharType="separate"/>
      </w:r>
      <w:r w:rsidRPr="00C64E51">
        <w:rPr>
          <w:rFonts w:eastAsia="MS Mincho"/>
          <w:lang w:eastAsia="ja-JP"/>
        </w:rPr>
        <w:t>[4]</w:t>
      </w:r>
      <w:r>
        <w:rPr>
          <w:rFonts w:eastAsia="MS Mincho"/>
          <w:lang w:eastAsia="ja-JP"/>
        </w:rPr>
        <w:fldChar w:fldCharType="end"/>
      </w:r>
      <w:r w:rsidRPr="00C64E51">
        <w:rPr>
          <w:rFonts w:eastAsia="MS Mincho"/>
          <w:lang w:eastAsia="ja-JP"/>
        </w:rPr>
        <w:t xml:space="preserve"> TR 38.913 (see </w:t>
      </w:r>
      <w:r w:rsidRPr="00C64E51">
        <w:rPr>
          <w:rFonts w:hint="eastAsia"/>
        </w:rPr>
        <w:t xml:space="preserve">Table </w:t>
      </w:r>
      <w:r w:rsidRPr="00C64E51">
        <w:t>6.1.</w:t>
      </w:r>
      <w:r w:rsidRPr="00C64E51">
        <w:rPr>
          <w:rFonts w:eastAsia="SimSun" w:hint="eastAsia"/>
        </w:rPr>
        <w:t>5</w:t>
      </w:r>
      <w:r w:rsidRPr="00C64E51">
        <w:t xml:space="preserve">-1 and Figure </w:t>
      </w:r>
      <w:r w:rsidRPr="00C64E51">
        <w:rPr>
          <w:rFonts w:hint="eastAsia"/>
        </w:rPr>
        <w:t>6.1.</w:t>
      </w:r>
      <w:r w:rsidRPr="00C64E51">
        <w:rPr>
          <w:rFonts w:eastAsia="MS Mincho" w:hint="eastAsia"/>
          <w:lang w:eastAsia="ja-JP"/>
        </w:rPr>
        <w:t>5</w:t>
      </w:r>
      <w:r w:rsidRPr="00C64E51">
        <w:rPr>
          <w:rFonts w:hint="eastAsia"/>
        </w:rPr>
        <w:t>-</w:t>
      </w:r>
      <w:r w:rsidRPr="00C64E51">
        <w:rPr>
          <w:rFonts w:eastAsia="MS Mincho"/>
          <w:lang w:eastAsia="ja-JP"/>
        </w:rPr>
        <w:t xml:space="preserve">1 </w:t>
      </w:r>
      <w:r w:rsidRPr="00C64E51">
        <w:t xml:space="preserve">reproduced below in </w:t>
      </w:r>
      <w:r>
        <w:fldChar w:fldCharType="begin"/>
      </w:r>
      <w:r w:rsidRPr="00C64E51">
        <w:instrText xml:space="preserve"> REF _Ref494452751 \h </w:instrText>
      </w:r>
      <w:r>
        <w:fldChar w:fldCharType="separate"/>
      </w:r>
      <w:r w:rsidRPr="00C64E51">
        <w:t xml:space="preserve">Figure </w:t>
      </w:r>
      <w:r w:rsidRPr="00C64E51">
        <w:rPr>
          <w:b/>
          <w:noProof/>
        </w:rPr>
        <w:t>1</w:t>
      </w:r>
      <w:r>
        <w:fldChar w:fldCharType="end"/>
      </w:r>
      <w:r w:rsidRPr="00C64E51">
        <w:rPr>
          <w:rFonts w:eastAsia="MS Mincho"/>
          <w:lang w:eastAsia="ja-JP"/>
        </w:rPr>
        <w:t xml:space="preserve">). The scenario is further </w:t>
      </w:r>
      <w:r w:rsidRPr="00C64E51">
        <w:t xml:space="preserve">detailed in </w:t>
      </w:r>
      <w:r>
        <w:fldChar w:fldCharType="begin"/>
      </w:r>
      <w:r w:rsidRPr="00C64E51">
        <w:instrText xml:space="preserve"> REF _Ref494464197 \r \h </w:instrText>
      </w:r>
      <w:r>
        <w:fldChar w:fldCharType="separate"/>
      </w:r>
      <w:r w:rsidRPr="00C64E51">
        <w:t>[5]</w:t>
      </w:r>
      <w:r>
        <w:fldChar w:fldCharType="end"/>
      </w:r>
      <w:r w:rsidRPr="00C64E51">
        <w:t xml:space="preserve"> TR 38.802 (see Table A.2</w:t>
      </w:r>
      <w:r w:rsidRPr="00C64E51">
        <w:rPr>
          <w:rFonts w:hint="eastAsia"/>
          <w:lang w:eastAsia="ja-JP"/>
        </w:rPr>
        <w:t>.1</w:t>
      </w:r>
      <w:r w:rsidRPr="00C64E51">
        <w:t>-</w:t>
      </w:r>
      <w:r w:rsidRPr="00C64E51">
        <w:rPr>
          <w:lang w:eastAsia="ja-JP"/>
        </w:rPr>
        <w:t>1</w:t>
      </w:r>
      <w:r w:rsidRPr="00C64E51">
        <w:t xml:space="preserve"> and Figure A.2.1-6)</w:t>
      </w:r>
    </w:p>
    <w:p w14:paraId="106070A3" w14:textId="77777777" w:rsidR="00F85293" w:rsidRDefault="00F85293" w:rsidP="00F85293">
      <w:pPr>
        <w:pStyle w:val="TH"/>
      </w:pPr>
      <w:r w:rsidRPr="00A7388D">
        <w:rPr>
          <w:noProof/>
        </w:rPr>
        <w:drawing>
          <wp:inline distT="0" distB="0" distL="0" distR="0" wp14:anchorId="7CA0D505" wp14:editId="411910FC">
            <wp:extent cx="5610225" cy="18192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10225" cy="1819275"/>
                    </a:xfrm>
                    <a:prstGeom prst="rect">
                      <a:avLst/>
                    </a:prstGeom>
                    <a:noFill/>
                    <a:ln>
                      <a:noFill/>
                    </a:ln>
                  </pic:spPr>
                </pic:pic>
              </a:graphicData>
            </a:graphic>
          </wp:inline>
        </w:drawing>
      </w:r>
    </w:p>
    <w:p w14:paraId="5ECDD6D5" w14:textId="77777777" w:rsidR="00F85293" w:rsidRPr="00C64E51" w:rsidRDefault="00F85293" w:rsidP="00F85293">
      <w:pPr>
        <w:pStyle w:val="TF"/>
        <w:rPr>
          <w:rFonts w:eastAsia="MS Mincho"/>
          <w:lang w:eastAsia="ja-JP"/>
        </w:rPr>
      </w:pPr>
      <w:bookmarkStart w:id="4" w:name="_Ref494452751"/>
      <w:r w:rsidRPr="00C64E51">
        <w:t xml:space="preserve">Figure </w:t>
      </w:r>
      <w:r>
        <w:fldChar w:fldCharType="begin"/>
      </w:r>
      <w:r w:rsidRPr="00C64E51">
        <w:rPr>
          <w:b w:val="0"/>
        </w:rPr>
        <w:instrText xml:space="preserve"> SEQ Figure \* ARABIC </w:instrText>
      </w:r>
      <w:r>
        <w:fldChar w:fldCharType="separate"/>
      </w:r>
      <w:r w:rsidRPr="00C64E51">
        <w:rPr>
          <w:b w:val="0"/>
          <w:noProof/>
        </w:rPr>
        <w:t>1</w:t>
      </w:r>
      <w:r>
        <w:fldChar w:fldCharType="end"/>
      </w:r>
      <w:bookmarkEnd w:id="4"/>
      <w:r w:rsidRPr="00C64E51">
        <w:t xml:space="preserve"> 4 GHz</w:t>
      </w:r>
      <w:r w:rsidRPr="00C64E51">
        <w:rPr>
          <w:rFonts w:eastAsia="MS Mincho" w:hint="eastAsia"/>
          <w:lang w:eastAsia="ja-JP"/>
        </w:rPr>
        <w:t xml:space="preserve"> </w:t>
      </w:r>
      <w:r w:rsidRPr="00C64E51">
        <w:t>deployment for high speed trains</w:t>
      </w:r>
    </w:p>
    <w:p w14:paraId="19B79D5F" w14:textId="77777777" w:rsidR="00F85293" w:rsidRPr="00C64E51" w:rsidRDefault="00F85293" w:rsidP="00F85293">
      <w:r w:rsidRPr="00C64E51">
        <w:lastRenderedPageBreak/>
        <w:t>The UE speed relatively the RRH, can be described as</w:t>
      </w:r>
    </w:p>
    <w:p w14:paraId="341CFFE2" w14:textId="77777777" w:rsidR="00F85293" w:rsidRDefault="00F85293" w:rsidP="00F85293">
      <m:oMathPara>
        <m:oMath>
          <m:r>
            <w:rPr>
              <w:rFonts w:ascii="Cambria Math" w:hAnsi="Cambria Math"/>
            </w:rPr>
            <m:t>v</m:t>
          </m:r>
          <m:d>
            <m:dPr>
              <m:ctrlPr>
                <w:rPr>
                  <w:rFonts w:ascii="Cambria Math" w:hAnsi="Cambria Math"/>
                  <w:i/>
                </w:rPr>
              </m:ctrlPr>
            </m:dPr>
            <m:e>
              <m:r>
                <w:rPr>
                  <w:rFonts w:ascii="Cambria Math" w:hAnsi="Cambria Math"/>
                </w:rPr>
                <m:t>t</m:t>
              </m:r>
            </m:e>
          </m:d>
          <m:r>
            <w:rPr>
              <w:rFonts w:ascii="Cambria Math" w:hAnsi="Cambria Math"/>
            </w:rPr>
            <m:t xml:space="preserve">= </m:t>
          </m:r>
          <m:f>
            <m:fPr>
              <m:ctrlPr>
                <w:rPr>
                  <w:rFonts w:ascii="Cambria Math" w:hAnsi="Cambria Math"/>
                  <w:i/>
                </w:rPr>
              </m:ctrlPr>
            </m:fPr>
            <m:num>
              <m:sSup>
                <m:sSupPr>
                  <m:ctrlPr>
                    <w:rPr>
                      <w:rFonts w:ascii="Cambria Math" w:hAnsi="Cambria Math"/>
                      <w:i/>
                    </w:rPr>
                  </m:ctrlPr>
                </m:sSupPr>
                <m:e>
                  <m:r>
                    <w:rPr>
                      <w:rFonts w:ascii="Cambria Math" w:hAnsi="Cambria Math"/>
                    </w:rPr>
                    <m:t>v</m:t>
                  </m:r>
                </m:e>
                <m:sup>
                  <m:r>
                    <w:rPr>
                      <w:rFonts w:ascii="Cambria Math" w:hAnsi="Cambria Math"/>
                    </w:rPr>
                    <m:t>2</m:t>
                  </m:r>
                </m:sup>
              </m:sSup>
              <m:r>
                <w:rPr>
                  <w:rFonts w:ascii="Cambria Math" w:hAnsi="Cambria Math"/>
                </w:rPr>
                <m:t>t</m:t>
              </m:r>
            </m:num>
            <m:den>
              <m:rad>
                <m:radPr>
                  <m:degHide m:val="1"/>
                  <m:ctrlPr>
                    <w:rPr>
                      <w:rFonts w:ascii="Cambria Math" w:hAnsi="Cambria Math"/>
                      <w:i/>
                    </w:rPr>
                  </m:ctrlPr>
                </m:radPr>
                <m:deg/>
                <m:e>
                  <m:sSup>
                    <m:sSupPr>
                      <m:ctrlPr>
                        <w:rPr>
                          <w:rFonts w:ascii="Cambria Math" w:hAnsi="Cambria Math"/>
                          <w:i/>
                        </w:rPr>
                      </m:ctrlPr>
                    </m:sSupPr>
                    <m:e>
                      <m:r>
                        <w:rPr>
                          <w:rFonts w:ascii="Cambria Math" w:hAnsi="Cambria Math"/>
                        </w:rPr>
                        <m:t>v</m:t>
                      </m:r>
                    </m:e>
                    <m:sup>
                      <m:r>
                        <w:rPr>
                          <w:rFonts w:ascii="Cambria Math" w:hAnsi="Cambria Math"/>
                        </w:rPr>
                        <m:t>2</m:t>
                      </m:r>
                    </m:sup>
                  </m:sSup>
                  <m:sSup>
                    <m:sSupPr>
                      <m:ctrlPr>
                        <w:rPr>
                          <w:rFonts w:ascii="Cambria Math" w:hAnsi="Cambria Math"/>
                          <w:i/>
                        </w:rPr>
                      </m:ctrlPr>
                    </m:sSupPr>
                    <m:e>
                      <m:r>
                        <w:rPr>
                          <w:rFonts w:ascii="Cambria Math" w:hAnsi="Cambria Math"/>
                        </w:rPr>
                        <m:t>t</m:t>
                      </m:r>
                    </m:e>
                    <m:sup>
                      <m:r>
                        <w:rPr>
                          <w:rFonts w:ascii="Cambria Math" w:hAnsi="Cambria Math"/>
                        </w:rPr>
                        <m:t>2</m:t>
                      </m:r>
                    </m:sup>
                  </m:sSup>
                  <m:r>
                    <w:rPr>
                      <w:rFonts w:ascii="Cambria Math" w:hAnsi="Cambria Math"/>
                    </w:rPr>
                    <m:t xml:space="preserve">+ </m:t>
                  </m:r>
                  <m:sSup>
                    <m:sSupPr>
                      <m:ctrlPr>
                        <w:rPr>
                          <w:rFonts w:ascii="Cambria Math" w:hAnsi="Cambria Math"/>
                          <w:i/>
                        </w:rPr>
                      </m:ctrlPr>
                    </m:sSupPr>
                    <m:e>
                      <m:r>
                        <w:rPr>
                          <w:rFonts w:ascii="Cambria Math" w:hAnsi="Cambria Math"/>
                        </w:rPr>
                        <m:t>d</m:t>
                      </m:r>
                    </m:e>
                    <m:sup>
                      <m:r>
                        <w:rPr>
                          <w:rFonts w:ascii="Cambria Math" w:hAnsi="Cambria Math"/>
                        </w:rPr>
                        <m:t>2</m:t>
                      </m:r>
                    </m:sup>
                  </m:sSup>
                </m:e>
              </m:rad>
            </m:den>
          </m:f>
          <m:r>
            <w:rPr>
              <w:rFonts w:ascii="Cambria Math" w:hAnsi="Cambria Math"/>
            </w:rPr>
            <m:t>,</m:t>
          </m:r>
        </m:oMath>
      </m:oMathPara>
    </w:p>
    <w:p w14:paraId="579147AF" w14:textId="77777777" w:rsidR="00F85293" w:rsidRDefault="00F85293" w:rsidP="00F85293">
      <w:r w:rsidRPr="00C64E51">
        <w:t xml:space="preserve">where v (m/s) is the speed of the train and d (m) is the smallest distance between the railroad tracks and the TRS (in the picture a remote radio head (RRH)).  </w:t>
      </w:r>
      <w:r w:rsidRPr="00F85293">
        <w:t xml:space="preserve">In the 4GHz scenario d=100m. At </w:t>
      </w:r>
      <m:oMath>
        <m:r>
          <w:rPr>
            <w:rFonts w:ascii="Cambria Math" w:hAnsi="Cambria Math"/>
          </w:rPr>
          <m:t>t=0</m:t>
        </m:r>
      </m:oMath>
      <w:r w:rsidRPr="00F85293">
        <w:t xml:space="preserve">, the UE is closest to the TRP. </w:t>
      </w:r>
      <w:r>
        <w:t>The corresponding Doppler shift can be expressed as</w:t>
      </w:r>
    </w:p>
    <w:p w14:paraId="7B77E275" w14:textId="77777777" w:rsidR="00F85293" w:rsidRPr="00484BB2" w:rsidRDefault="00E325EE" w:rsidP="00F85293">
      <m:oMathPara>
        <m:oMath>
          <m:sSub>
            <m:sSubPr>
              <m:ctrlPr>
                <w:rPr>
                  <w:rFonts w:ascii="Cambria Math" w:hAnsi="Cambria Math"/>
                  <w:i/>
                </w:rPr>
              </m:ctrlPr>
            </m:sSubPr>
            <m:e>
              <m:r>
                <w:rPr>
                  <w:rFonts w:ascii="Cambria Math" w:hAnsi="Cambria Math"/>
                </w:rPr>
                <m:t>f</m:t>
              </m:r>
            </m:e>
            <m:sub>
              <m:r>
                <w:rPr>
                  <w:rFonts w:ascii="Cambria Math" w:hAnsi="Cambria Math"/>
                </w:rPr>
                <m:t>d</m:t>
              </m:r>
            </m:sub>
          </m:sSub>
          <m:d>
            <m:dPr>
              <m:ctrlPr>
                <w:rPr>
                  <w:rFonts w:ascii="Cambria Math" w:hAnsi="Cambria Math"/>
                  <w:i/>
                </w:rPr>
              </m:ctrlPr>
            </m:dPr>
            <m:e>
              <m:r>
                <w:rPr>
                  <w:rFonts w:ascii="Cambria Math" w:hAnsi="Cambria Math"/>
                </w:rPr>
                <m:t>t</m:t>
              </m:r>
            </m:e>
          </m:d>
          <m:r>
            <w:rPr>
              <w:rFonts w:ascii="Cambria Math" w:hAnsi="Cambria Math"/>
            </w:rPr>
            <m:t xml:space="preserve">= </m:t>
          </m:r>
          <m:f>
            <m:fPr>
              <m:ctrlPr>
                <w:rPr>
                  <w:rFonts w:ascii="Cambria Math" w:hAnsi="Cambria Math"/>
                  <w:i/>
                </w:rPr>
              </m:ctrlPr>
            </m:fPr>
            <m:num>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c</m:t>
                  </m:r>
                </m:sub>
              </m:sSub>
            </m:num>
            <m:den>
              <m:r>
                <w:rPr>
                  <w:rFonts w:ascii="Cambria Math" w:hAnsi="Cambria Math"/>
                </w:rPr>
                <m:t>c</m:t>
              </m:r>
            </m:den>
          </m:f>
          <m:r>
            <w:rPr>
              <w:rFonts w:ascii="Cambria Math" w:hAnsi="Cambria Math"/>
            </w:rPr>
            <m:t xml:space="preserve"> v</m:t>
          </m:r>
          <m:d>
            <m:dPr>
              <m:ctrlPr>
                <w:rPr>
                  <w:rFonts w:ascii="Cambria Math" w:hAnsi="Cambria Math"/>
                  <w:i/>
                </w:rPr>
              </m:ctrlPr>
            </m:dPr>
            <m:e>
              <m:r>
                <w:rPr>
                  <w:rFonts w:ascii="Cambria Math" w:hAnsi="Cambria Math"/>
                </w:rPr>
                <m:t>t</m:t>
              </m:r>
            </m:e>
          </m:d>
          <m:r>
            <w:rPr>
              <w:rFonts w:ascii="Cambria Math" w:hAnsi="Cambria Math"/>
            </w:rPr>
            <m:t>,</m:t>
          </m:r>
        </m:oMath>
      </m:oMathPara>
    </w:p>
    <w:p w14:paraId="41379332" w14:textId="77777777" w:rsidR="00F85293" w:rsidRPr="00C64E51" w:rsidRDefault="00F85293" w:rsidP="00F85293">
      <w:r w:rsidRPr="00C64E51">
        <w:t xml:space="preserve">where </w:t>
      </w:r>
      <m:oMath>
        <m:sSub>
          <m:sSubPr>
            <m:ctrlPr>
              <w:rPr>
                <w:rFonts w:ascii="Cambria Math" w:hAnsi="Cambria Math"/>
                <w:i/>
              </w:rPr>
            </m:ctrlPr>
          </m:sSubPr>
          <m:e>
            <m:r>
              <w:rPr>
                <w:rFonts w:ascii="Cambria Math" w:hAnsi="Cambria Math"/>
              </w:rPr>
              <m:t>f</m:t>
            </m:r>
          </m:e>
          <m:sub>
            <m:r>
              <w:rPr>
                <w:rFonts w:ascii="Cambria Math" w:hAnsi="Cambria Math"/>
              </w:rPr>
              <m:t>c</m:t>
            </m:r>
          </m:sub>
        </m:sSub>
      </m:oMath>
      <w:r w:rsidRPr="00C64E51">
        <w:t xml:space="preserve"> (Hz) is the carrier frequency and c (m/s) is the speed of light. In </w:t>
      </w:r>
      <w:r>
        <w:fldChar w:fldCharType="begin"/>
      </w:r>
      <w:r w:rsidRPr="00C64E51">
        <w:instrText xml:space="preserve"> REF _Ref494454589 \h </w:instrText>
      </w:r>
      <w:r>
        <w:fldChar w:fldCharType="separate"/>
      </w:r>
      <w:r w:rsidRPr="00C64E51">
        <w:t xml:space="preserve">Figure </w:t>
      </w:r>
      <w:r w:rsidRPr="00C64E51">
        <w:rPr>
          <w:noProof/>
        </w:rPr>
        <w:t>2</w:t>
      </w:r>
      <w:r>
        <w:fldChar w:fldCharType="end"/>
      </w:r>
      <w:r w:rsidRPr="00C64E51">
        <w:t xml:space="preserve"> the Doppler shift is shown as a function of time for 4GHz carrier frequency and for d=50m/100m/200m.</w:t>
      </w:r>
    </w:p>
    <w:p w14:paraId="0C16C633" w14:textId="77777777" w:rsidR="00F85293" w:rsidRPr="00C64E51" w:rsidRDefault="00F85293" w:rsidP="00F85293"/>
    <w:p w14:paraId="60BE4E9E" w14:textId="77777777" w:rsidR="00F85293" w:rsidRDefault="00F85293" w:rsidP="00F85293">
      <w:pPr>
        <w:keepNext/>
        <w:jc w:val="center"/>
      </w:pPr>
      <w:r w:rsidRPr="001145AF">
        <w:rPr>
          <w:noProof/>
        </w:rPr>
        <w:drawing>
          <wp:inline distT="0" distB="0" distL="0" distR="0" wp14:anchorId="79AD6A3C" wp14:editId="0CD18612">
            <wp:extent cx="4190400" cy="3142800"/>
            <wp:effectExtent l="0" t="0" r="635" b="635"/>
            <wp:docPr id="10" name="Picture 10" descr="C:\Users\ecshaer\Documents\Repository\ER-RAT\2016\Work\MATLAB\HST\doppler_shif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cshaer\Documents\Repository\ER-RAT\2016\Work\MATLAB\HST\doppler_shift.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90400" cy="3142800"/>
                    </a:xfrm>
                    <a:prstGeom prst="rect">
                      <a:avLst/>
                    </a:prstGeom>
                    <a:noFill/>
                    <a:ln>
                      <a:noFill/>
                    </a:ln>
                  </pic:spPr>
                </pic:pic>
              </a:graphicData>
            </a:graphic>
          </wp:inline>
        </w:drawing>
      </w:r>
    </w:p>
    <w:p w14:paraId="7FDAF729" w14:textId="77777777" w:rsidR="00F85293" w:rsidRPr="00C64E51" w:rsidRDefault="00F85293" w:rsidP="00F85293">
      <w:pPr>
        <w:pStyle w:val="Caption"/>
        <w:jc w:val="both"/>
      </w:pPr>
      <w:bookmarkStart w:id="5" w:name="_Ref494454589"/>
      <w:r w:rsidRPr="00C64E51">
        <w:t xml:space="preserve">Figure </w:t>
      </w:r>
      <w:r>
        <w:fldChar w:fldCharType="begin"/>
      </w:r>
      <w:r w:rsidRPr="00C64E51">
        <w:instrText xml:space="preserve"> SEQ Figure \* ARABIC </w:instrText>
      </w:r>
      <w:r>
        <w:fldChar w:fldCharType="separate"/>
      </w:r>
      <w:r w:rsidRPr="00C64E51">
        <w:rPr>
          <w:noProof/>
        </w:rPr>
        <w:t>2</w:t>
      </w:r>
      <w:r>
        <w:fldChar w:fldCharType="end"/>
      </w:r>
      <w:bookmarkEnd w:id="5"/>
      <w:r w:rsidRPr="00C64E51">
        <w:t xml:space="preserve"> Doppler shift plotted versus time assuming a train speed of 500 km/h and a 4GHz carrier frequency. Here t=0 corresponds to the time when the UE/relay on the train is closest to the RRH. The d=100m curve corresponds to the scenario described in TR 38.913 and TR 38.802.</w:t>
      </w:r>
    </w:p>
    <w:p w14:paraId="0E48D217" w14:textId="77777777" w:rsidR="00F85293" w:rsidRPr="00C64E51" w:rsidRDefault="00F85293" w:rsidP="00F85293"/>
    <w:p w14:paraId="1AB068F1" w14:textId="77777777" w:rsidR="00F85293" w:rsidRPr="00C64E51" w:rsidRDefault="00F85293" w:rsidP="00F85293">
      <w:r w:rsidRPr="00C64E51">
        <w:t>The change in Doppler shift between two TRS bursts can be expressed as</w:t>
      </w:r>
    </w:p>
    <w:p w14:paraId="7CB69BF2" w14:textId="77777777" w:rsidR="00F85293" w:rsidRPr="008D7B58" w:rsidRDefault="00F85293" w:rsidP="00F85293">
      <m:oMathPara>
        <m:oMath>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m:t>
              </m:r>
            </m:sub>
          </m:sSub>
          <m:d>
            <m:dPr>
              <m:ctrlPr>
                <w:rPr>
                  <w:rFonts w:ascii="Cambria Math" w:hAnsi="Cambria Math"/>
                  <w:i/>
                </w:rPr>
              </m:ctrlPr>
            </m:dPr>
            <m:e>
              <m:r>
                <w:rPr>
                  <w:rFonts w:ascii="Cambria Math" w:hAnsi="Cambria Math"/>
                </w:rPr>
                <m:t>t,δ</m:t>
              </m:r>
            </m:e>
          </m:d>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d</m:t>
              </m:r>
            </m:sub>
          </m:sSub>
          <m:d>
            <m:dPr>
              <m:ctrlPr>
                <w:rPr>
                  <w:rFonts w:ascii="Cambria Math" w:hAnsi="Cambria Math"/>
                  <w:i/>
                </w:rPr>
              </m:ctrlPr>
            </m:dPr>
            <m:e>
              <m:r>
                <w:rPr>
                  <w:rFonts w:ascii="Cambria Math" w:hAnsi="Cambria Math"/>
                </w:rPr>
                <m:t>t+δ/2</m:t>
              </m:r>
            </m:e>
          </m:d>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d</m:t>
              </m:r>
            </m:sub>
          </m:sSub>
          <m:d>
            <m:dPr>
              <m:ctrlPr>
                <w:rPr>
                  <w:rFonts w:ascii="Cambria Math" w:hAnsi="Cambria Math"/>
                  <w:i/>
                </w:rPr>
              </m:ctrlPr>
            </m:dPr>
            <m:e>
              <m:r>
                <w:rPr>
                  <w:rFonts w:ascii="Cambria Math" w:hAnsi="Cambria Math"/>
                </w:rPr>
                <m:t>t-δ/2</m:t>
              </m:r>
            </m:e>
          </m:d>
          <m:r>
            <w:rPr>
              <w:rFonts w:ascii="Cambria Math" w:hAnsi="Cambria Math"/>
            </w:rPr>
            <m:t xml:space="preserve"> </m:t>
          </m:r>
        </m:oMath>
      </m:oMathPara>
    </w:p>
    <w:p w14:paraId="04898E2D" w14:textId="77777777" w:rsidR="00F85293" w:rsidRPr="00C64E51" w:rsidRDefault="00F85293" w:rsidP="00F85293">
      <w:r w:rsidRPr="00C64E51">
        <w:t xml:space="preserve">where </w:t>
      </w:r>
      <m:oMath>
        <m:r>
          <w:rPr>
            <w:rFonts w:ascii="Cambria Math" w:hAnsi="Cambria Math"/>
          </w:rPr>
          <m:t>δ</m:t>
        </m:r>
      </m:oMath>
      <w:r w:rsidRPr="00C64E51">
        <w:t xml:space="preserve"> is the time between two adjacent TRS bursts.</w:t>
      </w:r>
    </w:p>
    <w:p w14:paraId="2C20002F" w14:textId="77777777" w:rsidR="00F85293" w:rsidRDefault="00F85293" w:rsidP="00F85293">
      <w:pPr>
        <w:jc w:val="center"/>
      </w:pPr>
      <w:r w:rsidRPr="00C07CD2">
        <w:rPr>
          <w:noProof/>
        </w:rPr>
        <w:lastRenderedPageBreak/>
        <w:drawing>
          <wp:inline distT="0" distB="0" distL="0" distR="0" wp14:anchorId="5D112732" wp14:editId="76198E04">
            <wp:extent cx="4190400" cy="3142800"/>
            <wp:effectExtent l="0" t="0" r="635" b="635"/>
            <wp:docPr id="11" name="Picture 11" descr="C:\Users\ecshaer\Documents\Repository\ER-RAT\2016\Work\MATLAB\HST\change_doppler_shift_trs_20m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cshaer\Documents\Repository\ER-RAT\2016\Work\MATLAB\HST\change_doppler_shift_trs_20ms.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90400" cy="3142800"/>
                    </a:xfrm>
                    <a:prstGeom prst="rect">
                      <a:avLst/>
                    </a:prstGeom>
                    <a:noFill/>
                    <a:ln>
                      <a:noFill/>
                    </a:ln>
                  </pic:spPr>
                </pic:pic>
              </a:graphicData>
            </a:graphic>
          </wp:inline>
        </w:drawing>
      </w:r>
    </w:p>
    <w:p w14:paraId="62B3C883" w14:textId="77777777" w:rsidR="00F85293" w:rsidRDefault="00F85293" w:rsidP="00F85293">
      <w:pPr>
        <w:keepNext/>
      </w:pPr>
    </w:p>
    <w:p w14:paraId="262047B2" w14:textId="77777777" w:rsidR="00F85293" w:rsidRPr="00C64E51" w:rsidRDefault="00F85293" w:rsidP="00F85293">
      <w:pPr>
        <w:pStyle w:val="Caption"/>
        <w:jc w:val="both"/>
      </w:pPr>
      <w:bookmarkStart w:id="6" w:name="_Ref494729001"/>
      <w:r w:rsidRPr="00C64E51">
        <w:t xml:space="preserve">Figure </w:t>
      </w:r>
      <w:r>
        <w:fldChar w:fldCharType="begin"/>
      </w:r>
      <w:r w:rsidRPr="00C64E51">
        <w:instrText xml:space="preserve"> SEQ Figure \* ARABIC </w:instrText>
      </w:r>
      <w:r>
        <w:fldChar w:fldCharType="separate"/>
      </w:r>
      <w:r w:rsidRPr="00C64E51">
        <w:rPr>
          <w:noProof/>
        </w:rPr>
        <w:t>3</w:t>
      </w:r>
      <w:r>
        <w:fldChar w:fldCharType="end"/>
      </w:r>
      <w:bookmarkEnd w:id="6"/>
      <w:r w:rsidRPr="00C64E51">
        <w:t xml:space="preserve"> The change of Doppler shift between two adjacent TRS burst separated with 20 ms when the train is passing a RRH at 500 km/h using a 4GHz carrier and varying the distance between the railway tracks and the TRP d = {50m, 100m, 200m}. The d=100m curve corresponds to the scenario described in TR 38.913 and TR 38.802.</w:t>
      </w:r>
    </w:p>
    <w:p w14:paraId="3F6B460A" w14:textId="0F4E9F0A" w:rsidR="00F85293" w:rsidRPr="00C64E51" w:rsidRDefault="00F85293" w:rsidP="00F85293">
      <w:r w:rsidRPr="00C64E51">
        <w:t xml:space="preserve">In </w:t>
      </w:r>
      <w:r>
        <w:fldChar w:fldCharType="begin"/>
      </w:r>
      <w:r w:rsidRPr="00C64E51">
        <w:instrText xml:space="preserve"> REF _Ref494729001 \h </w:instrText>
      </w:r>
      <w:r>
        <w:fldChar w:fldCharType="separate"/>
      </w:r>
      <w:r w:rsidRPr="00C64E51">
        <w:t xml:space="preserve">Figure </w:t>
      </w:r>
      <w:r w:rsidRPr="00C64E51">
        <w:rPr>
          <w:noProof/>
        </w:rPr>
        <w:t>3</w:t>
      </w:r>
      <w:r>
        <w:fldChar w:fldCharType="end"/>
      </w:r>
      <w:r w:rsidRPr="00C64E51">
        <w:t xml:space="preserve">, it can be observed that if the transmission point is placed at least 100 meters from the railroad tracks and the trains moves at 500 km/h on the railway tracks, then the largest Doppler shift change between two TRS bursts is about 50 Hz. This is only 0.33% of a 15kHz SCS or 0.17% of 30kHz SCS. This would have no impact on performance at low SNR. At high SNR there would be some limited impact on </w:t>
      </w:r>
      <w:r w:rsidR="00752BB8" w:rsidRPr="00C64E51">
        <w:t>throughput,</w:t>
      </w:r>
      <w:r w:rsidRPr="00C64E51">
        <w:t xml:space="preserve"> but the fast frequency change takes place during ~1s when the train pass an RRH which is a small fraction of the time it takes for the train to go from one RRH to the next (12.5s at 500km/h for an inter RRH distance of 1732m). Furthermore, in </w:t>
      </w:r>
      <w:r>
        <w:fldChar w:fldCharType="begin"/>
      </w:r>
      <w:r w:rsidRPr="00C64E51">
        <w:instrText xml:space="preserve"> REF _Ref494461505 \r \h </w:instrText>
      </w:r>
      <w:r>
        <w:fldChar w:fldCharType="separate"/>
      </w:r>
      <w:r w:rsidRPr="00C64E51">
        <w:t>[3]</w:t>
      </w:r>
      <w:r>
        <w:fldChar w:fldCharType="end"/>
      </w:r>
      <w:r w:rsidRPr="00C64E51">
        <w:t xml:space="preserve"> it was shown that the robust four symbol DMRS pattern intended for high mobility can be used by the UE to efficiently track the frequency even for allocations down to 6RB. Thus, a reduction in performance would only be seen during a small fraction of the time for very low allocations at high SNR.</w:t>
      </w:r>
    </w:p>
    <w:p w14:paraId="116AC753" w14:textId="77777777" w:rsidR="00F85293" w:rsidRPr="00C64E51" w:rsidRDefault="00F85293" w:rsidP="00F85293">
      <w:r w:rsidRPr="00C64E51">
        <w:t>A reduction of the TRS burst period below 20ms would give a limited performance benefits for a corner case of very small allocations during a small fraction of the time (when passing an RRH) while increasing the TRS overhead and creating additional interference with a negative impact on the overall system performance.</w:t>
      </w:r>
    </w:p>
    <w:p w14:paraId="486D7EE3" w14:textId="77777777" w:rsidR="00F85293" w:rsidRPr="00C64E51" w:rsidRDefault="00F85293" w:rsidP="00F85293">
      <w:r w:rsidRPr="00C64E51">
        <w:t>We note finally that the HST requirement in 28.913 is for ‘</w:t>
      </w:r>
      <w:r>
        <w:rPr>
          <w:rFonts w:eastAsia="SimSun" w:hint="eastAsia"/>
        </w:rPr>
        <w:t xml:space="preserve">consistent </w:t>
      </w:r>
      <w:r>
        <w:rPr>
          <w:rFonts w:eastAsia="SimSun"/>
        </w:rPr>
        <w:t>passenger</w:t>
      </w:r>
      <w:r>
        <w:rPr>
          <w:rFonts w:eastAsia="SimSun" w:hint="eastAsia"/>
        </w:rPr>
        <w:t xml:space="preserve"> user experience</w:t>
      </w:r>
      <w:r>
        <w:rPr>
          <w:rFonts w:eastAsia="SimSun"/>
        </w:rPr>
        <w:t>’. A performance degradation is acceptable as long as mobility is maintained at high speeds. Thus, the increase in overhead from additional DMRS symbols (7% overhead per symbol) as well as the limited throughput reduction discussed above (negligible compared to the DMRS overhead) is acceptable at high speeds.</w:t>
      </w:r>
    </w:p>
    <w:p w14:paraId="2BA9AC19" w14:textId="77777777" w:rsidR="00F85293" w:rsidRPr="00C64E51" w:rsidRDefault="00F85293" w:rsidP="00F85293"/>
    <w:p w14:paraId="273C088F" w14:textId="77777777" w:rsidR="00F85293" w:rsidRPr="00C64E51" w:rsidRDefault="00F85293" w:rsidP="00F85293">
      <w:pPr>
        <w:pStyle w:val="Observation"/>
      </w:pPr>
      <w:bookmarkStart w:id="7" w:name="_Toc494754946"/>
      <w:bookmarkStart w:id="8" w:name="_Toc494754972"/>
      <w:r w:rsidRPr="00C64E51">
        <w:t>With 20ms TRS burs periodicity and 4GHz carrier frequency, the maximum Doppler shift change between TRS bursts is about 50 Hz for a deployment where the transmission point is located 100 meters from the railroad tracks.</w:t>
      </w:r>
      <w:bookmarkEnd w:id="7"/>
      <w:bookmarkEnd w:id="8"/>
    </w:p>
    <w:p w14:paraId="452128BF" w14:textId="77777777" w:rsidR="00F85293" w:rsidRPr="00C64E51" w:rsidRDefault="00F85293" w:rsidP="00F85293">
      <w:pPr>
        <w:pStyle w:val="Observation"/>
      </w:pPr>
      <w:bookmarkStart w:id="9" w:name="_Toc494754947"/>
      <w:bookmarkStart w:id="10" w:name="_Toc494754973"/>
      <w:r w:rsidRPr="00C64E51">
        <w:t>A reduction of the TRS burst period below 20ms would only give a limited performance increase for a corner case of very small allocations during a small fraction of the time (when passing an RRH in a high-speed train) while increasing the TRS overhead and creating additional interference with a negative impact on the overall system performance.</w:t>
      </w:r>
      <w:bookmarkEnd w:id="9"/>
      <w:bookmarkEnd w:id="10"/>
    </w:p>
    <w:p w14:paraId="2424F637" w14:textId="11AA09F6" w:rsidR="00F85293" w:rsidRPr="00C64E51" w:rsidRDefault="00F85293" w:rsidP="00F85293">
      <w:pPr>
        <w:pStyle w:val="Observation"/>
      </w:pPr>
      <w:bookmarkStart w:id="11" w:name="_Toc494754919"/>
      <w:r w:rsidRPr="00C64E51">
        <w:t xml:space="preserve">The smallest TRS burst periodicity </w:t>
      </w:r>
      <w:r>
        <w:t xml:space="preserve">needed </w:t>
      </w:r>
      <w:r w:rsidRPr="00C64E51">
        <w:t>in NR is 20ms.</w:t>
      </w:r>
      <w:bookmarkEnd w:id="11"/>
    </w:p>
    <w:p w14:paraId="390652C1" w14:textId="77777777" w:rsidR="00F85293" w:rsidRPr="00C64E51" w:rsidRDefault="00F85293" w:rsidP="00F85293"/>
    <w:p w14:paraId="42A1877C" w14:textId="77777777" w:rsidR="00F85293" w:rsidRPr="00C64E51" w:rsidRDefault="00F85293" w:rsidP="00F85293">
      <w:pPr>
        <w:pStyle w:val="Heading3"/>
        <w:tabs>
          <w:tab w:val="left" w:pos="1701"/>
          <w:tab w:val="right" w:pos="9639"/>
        </w:tabs>
        <w:overflowPunct/>
        <w:autoSpaceDE/>
        <w:autoSpaceDN/>
        <w:adjustRightInd/>
        <w:spacing w:line="259" w:lineRule="auto"/>
        <w:textAlignment w:val="auto"/>
        <w:rPr>
          <w:lang w:val="en-US"/>
        </w:rPr>
      </w:pPr>
      <w:r w:rsidRPr="00C64E51">
        <w:rPr>
          <w:lang w:val="en-US"/>
        </w:rPr>
        <w:t>High Speed Train (HST) scenario at 30 GHz</w:t>
      </w:r>
    </w:p>
    <w:p w14:paraId="49D783ED" w14:textId="10A6CD65" w:rsidR="00F85293" w:rsidRPr="00C64E51" w:rsidRDefault="00F85293" w:rsidP="00F85293">
      <w:r w:rsidRPr="00C64E51">
        <w:t xml:space="preserve">The high-speed train scenario for high frequencies is based on unidirectional RRH as described in </w:t>
      </w:r>
      <w:r w:rsidRPr="00C64E51">
        <w:rPr>
          <w:rFonts w:eastAsia="MS Mincho"/>
          <w:lang w:eastAsia="ja-JP"/>
        </w:rPr>
        <w:t xml:space="preserve">section 6.1.5 in </w:t>
      </w:r>
      <w:r>
        <w:rPr>
          <w:rFonts w:eastAsia="MS Mincho"/>
          <w:lang w:eastAsia="ja-JP"/>
        </w:rPr>
        <w:fldChar w:fldCharType="begin"/>
      </w:r>
      <w:r w:rsidRPr="00C64E51">
        <w:rPr>
          <w:rFonts w:eastAsia="MS Mincho"/>
          <w:lang w:eastAsia="ja-JP"/>
        </w:rPr>
        <w:instrText xml:space="preserve"> REF _Ref494464172 \r \h </w:instrText>
      </w:r>
      <w:r>
        <w:rPr>
          <w:rFonts w:eastAsia="MS Mincho"/>
          <w:lang w:eastAsia="ja-JP"/>
        </w:rPr>
      </w:r>
      <w:r>
        <w:rPr>
          <w:rFonts w:eastAsia="MS Mincho"/>
          <w:lang w:eastAsia="ja-JP"/>
        </w:rPr>
        <w:fldChar w:fldCharType="separate"/>
      </w:r>
      <w:r w:rsidRPr="00C64E51">
        <w:rPr>
          <w:rFonts w:eastAsia="MS Mincho"/>
          <w:lang w:eastAsia="ja-JP"/>
        </w:rPr>
        <w:t>[4]</w:t>
      </w:r>
      <w:r>
        <w:rPr>
          <w:rFonts w:eastAsia="MS Mincho"/>
          <w:lang w:eastAsia="ja-JP"/>
        </w:rPr>
        <w:fldChar w:fldCharType="end"/>
      </w:r>
      <w:r w:rsidRPr="00C64E51">
        <w:rPr>
          <w:rFonts w:eastAsia="MS Mincho"/>
          <w:lang w:eastAsia="ja-JP"/>
        </w:rPr>
        <w:t xml:space="preserve"> TR 38.913 (see </w:t>
      </w:r>
      <w:r w:rsidRPr="00C64E51">
        <w:rPr>
          <w:rFonts w:hint="eastAsia"/>
        </w:rPr>
        <w:t xml:space="preserve">Table </w:t>
      </w:r>
      <w:r w:rsidRPr="00C64E51">
        <w:t>6.1.</w:t>
      </w:r>
      <w:r w:rsidRPr="00C64E51">
        <w:rPr>
          <w:rFonts w:eastAsia="SimSun" w:hint="eastAsia"/>
        </w:rPr>
        <w:t>5</w:t>
      </w:r>
      <w:r w:rsidRPr="00C64E51">
        <w:t xml:space="preserve">-1 and Figure </w:t>
      </w:r>
      <w:r w:rsidRPr="00C64E51">
        <w:rPr>
          <w:rFonts w:hint="eastAsia"/>
        </w:rPr>
        <w:t>6.1.</w:t>
      </w:r>
      <w:r w:rsidRPr="00C64E51">
        <w:rPr>
          <w:rFonts w:eastAsia="MS Mincho" w:hint="eastAsia"/>
          <w:lang w:eastAsia="ja-JP"/>
        </w:rPr>
        <w:t>5</w:t>
      </w:r>
      <w:r w:rsidRPr="00C64E51">
        <w:rPr>
          <w:rFonts w:hint="eastAsia"/>
        </w:rPr>
        <w:t>-</w:t>
      </w:r>
      <w:r w:rsidRPr="00C64E51">
        <w:rPr>
          <w:rFonts w:eastAsia="MS Mincho" w:hint="eastAsia"/>
          <w:lang w:eastAsia="ja-JP"/>
        </w:rPr>
        <w:t>2</w:t>
      </w:r>
      <w:r w:rsidRPr="00C64E51">
        <w:rPr>
          <w:rFonts w:eastAsia="MS Mincho"/>
          <w:lang w:eastAsia="ja-JP"/>
        </w:rPr>
        <w:t xml:space="preserve"> </w:t>
      </w:r>
      <w:r w:rsidRPr="00C64E51">
        <w:t xml:space="preserve">reproduced below in </w:t>
      </w:r>
      <w:r w:rsidR="006C7B96">
        <w:t>Figure 4</w:t>
      </w:r>
      <w:r w:rsidRPr="00C64E51">
        <w:rPr>
          <w:rFonts w:eastAsia="MS Mincho"/>
          <w:lang w:eastAsia="ja-JP"/>
        </w:rPr>
        <w:t xml:space="preserve">). The scenario is further </w:t>
      </w:r>
      <w:r w:rsidRPr="00C64E51">
        <w:t xml:space="preserve">detailed in </w:t>
      </w:r>
      <w:r>
        <w:fldChar w:fldCharType="begin"/>
      </w:r>
      <w:r w:rsidRPr="00C64E51">
        <w:instrText xml:space="preserve"> REF _Ref494464197 \r \h </w:instrText>
      </w:r>
      <w:r>
        <w:fldChar w:fldCharType="separate"/>
      </w:r>
      <w:r w:rsidRPr="00C64E51">
        <w:t>[5]</w:t>
      </w:r>
      <w:r>
        <w:fldChar w:fldCharType="end"/>
      </w:r>
      <w:r w:rsidRPr="00C64E51">
        <w:t xml:space="preserve"> TR 38.802 (see Table A.2</w:t>
      </w:r>
      <w:r w:rsidRPr="00C64E51">
        <w:rPr>
          <w:rFonts w:hint="eastAsia"/>
          <w:lang w:eastAsia="ja-JP"/>
        </w:rPr>
        <w:t>.1</w:t>
      </w:r>
      <w:r w:rsidRPr="00C64E51">
        <w:t>-</w:t>
      </w:r>
      <w:r w:rsidRPr="00C64E51">
        <w:rPr>
          <w:rFonts w:hint="eastAsia"/>
          <w:lang w:eastAsia="ja-JP"/>
        </w:rPr>
        <w:t>2</w:t>
      </w:r>
      <w:r w:rsidRPr="00C64E51">
        <w:t xml:space="preserve"> and Figure A.2.1-6).</w:t>
      </w:r>
    </w:p>
    <w:p w14:paraId="6BECF9CE" w14:textId="77777777" w:rsidR="00F85293" w:rsidRPr="00C64E51" w:rsidRDefault="00F85293" w:rsidP="00F85293">
      <w:r w:rsidRPr="00C64E51">
        <w:t xml:space="preserve">The unidirectional RRH scenario was studied for LTE in </w:t>
      </w:r>
      <w:r>
        <w:fldChar w:fldCharType="begin"/>
      </w:r>
      <w:r w:rsidRPr="00C64E51">
        <w:instrText xml:space="preserve"> REF _Ref494464326 \r \h </w:instrText>
      </w:r>
      <w:r>
        <w:fldChar w:fldCharType="separate"/>
      </w:r>
      <w:r w:rsidRPr="00C64E51">
        <w:t>[6]</w:t>
      </w:r>
      <w:r>
        <w:fldChar w:fldCharType="end"/>
      </w:r>
      <w:r w:rsidRPr="00C64E51">
        <w:t xml:space="preserve"> TR 36.878 and was, in contrast to the bi-directional scenarios, seen to support 500km/h and even higher velocities.</w:t>
      </w:r>
    </w:p>
    <w:p w14:paraId="7D384473" w14:textId="2FE87699" w:rsidR="00F85293" w:rsidRPr="00C64E51" w:rsidRDefault="00F85293" w:rsidP="00F85293">
      <w:r w:rsidRPr="00C64E51">
        <w:t>Using RRH an</w:t>
      </w:r>
      <w:r w:rsidR="00752BB8">
        <w:t>tenna beams with strong side-lo</w:t>
      </w:r>
      <w:r w:rsidRPr="00C64E51">
        <w:t>b</w:t>
      </w:r>
      <w:r w:rsidR="00752BB8">
        <w:t>e</w:t>
      </w:r>
      <w:r w:rsidRPr="00C64E51">
        <w:t xml:space="preserve"> suppression directed in the same direction along the railroad track the relay on the train will experience an almost constant Doppler spread equal to plus or minus max Doppler spread depending on the direction the train is travelling. Since there is no fast-changing Doppler shift there is no frequency estimation problem.</w:t>
      </w:r>
    </w:p>
    <w:p w14:paraId="72A6F047" w14:textId="77777777" w:rsidR="00F85293" w:rsidRPr="00C64E51" w:rsidRDefault="00F85293" w:rsidP="00F85293">
      <w:r w:rsidRPr="00C64E51">
        <w:t>For high frequencies, the challenges in terms of frequency and Doppler spread estimation do not get worse as long as the subcarrier spacing is scaled along with the frequency. For a speed of 500km/h at 30GHz carrier frequency the maximum Doppler shift is 13.9kHz. The Nyquist limit for frequency estimation based on reference signals three symbols apart is 16% of the subcarrier spacing or 19kHz for 120kHz subcarrier spacing.</w:t>
      </w:r>
    </w:p>
    <w:p w14:paraId="095CC16B" w14:textId="2739203E" w:rsidR="00F85293" w:rsidRPr="00C64E51" w:rsidRDefault="00F85293" w:rsidP="00F85293">
      <w:r w:rsidRPr="00C64E51">
        <w:t>One may also note that at high frequencies it’s much ea</w:t>
      </w:r>
      <w:r w:rsidR="00752BB8">
        <w:t>sier to achieve a large side-lo</w:t>
      </w:r>
      <w:r w:rsidRPr="00C64E51">
        <w:t>b</w:t>
      </w:r>
      <w:r w:rsidR="00752BB8">
        <w:t>e</w:t>
      </w:r>
      <w:r w:rsidRPr="00C64E51">
        <w:t xml:space="preserve"> suppression with a limited antenna size.</w:t>
      </w:r>
    </w:p>
    <w:p w14:paraId="4674CF75" w14:textId="77777777" w:rsidR="00F85293" w:rsidRDefault="00F85293" w:rsidP="00F85293">
      <w:pPr>
        <w:keepNext/>
      </w:pPr>
      <w:r>
        <w:rPr>
          <w:noProof/>
        </w:rPr>
        <w:lastRenderedPageBreak/>
        <w:fldChar w:fldCharType="begin"/>
      </w:r>
      <w:r>
        <w:rPr>
          <w:noProof/>
        </w:rPr>
        <w:instrText xml:space="preserve"> INCLUDEPICTURE  "cid:image005.png@01D1B807.4DDB8910" \* MERGEFORMATINET </w:instrText>
      </w:r>
      <w:r>
        <w:rPr>
          <w:noProof/>
        </w:rPr>
        <w:fldChar w:fldCharType="separate"/>
      </w:r>
      <w:r>
        <w:rPr>
          <w:noProof/>
        </w:rPr>
        <w:fldChar w:fldCharType="begin"/>
      </w:r>
      <w:r>
        <w:rPr>
          <w:noProof/>
        </w:rPr>
        <w:instrText xml:space="preserve"> INCLUDEPICTURE  "cid:image005.png@01D1B807.4DDB8910" \* MERGEFORMATINET </w:instrText>
      </w:r>
      <w:r>
        <w:rPr>
          <w:noProof/>
        </w:rPr>
        <w:fldChar w:fldCharType="separate"/>
      </w:r>
      <w:r>
        <w:rPr>
          <w:noProof/>
        </w:rPr>
        <w:fldChar w:fldCharType="begin"/>
      </w:r>
      <w:r>
        <w:rPr>
          <w:noProof/>
        </w:rPr>
        <w:instrText xml:space="preserve"> INCLUDEPICTURE  "cid:image005.png@01D1B807.4DDB8910" \* MERGEFORMATINET </w:instrText>
      </w:r>
      <w:r>
        <w:rPr>
          <w:noProof/>
        </w:rPr>
        <w:fldChar w:fldCharType="separate"/>
      </w:r>
      <w:r w:rsidR="00350BFC">
        <w:rPr>
          <w:noProof/>
        </w:rPr>
        <w:fldChar w:fldCharType="begin"/>
      </w:r>
      <w:r w:rsidR="00350BFC">
        <w:rPr>
          <w:noProof/>
        </w:rPr>
        <w:instrText xml:space="preserve"> INCLUDEPICTURE  "cid:image005.png@01D1B807.4DDB8910" \* MERGEFORMATINET </w:instrText>
      </w:r>
      <w:r w:rsidR="00350BFC">
        <w:rPr>
          <w:noProof/>
        </w:rPr>
        <w:fldChar w:fldCharType="separate"/>
      </w:r>
      <w:r w:rsidR="00CB7064">
        <w:rPr>
          <w:noProof/>
        </w:rPr>
        <w:fldChar w:fldCharType="begin"/>
      </w:r>
      <w:r w:rsidR="00CB7064">
        <w:rPr>
          <w:noProof/>
        </w:rPr>
        <w:instrText xml:space="preserve"> INCLUDEPICTURE  "cid:image005.png@01D1B807.4DDB8910" \* MERGEFORMATINET </w:instrText>
      </w:r>
      <w:r w:rsidR="00CB7064">
        <w:rPr>
          <w:noProof/>
        </w:rPr>
        <w:fldChar w:fldCharType="separate"/>
      </w:r>
      <w:r w:rsidR="00094AB4">
        <w:rPr>
          <w:noProof/>
        </w:rPr>
        <w:fldChar w:fldCharType="begin"/>
      </w:r>
      <w:r w:rsidR="00094AB4">
        <w:rPr>
          <w:noProof/>
        </w:rPr>
        <w:instrText xml:space="preserve"> INCLUDEPICTURE  "cid:image005.png@01D1B807.4DDB8910" \* MERGEFORMATINET </w:instrText>
      </w:r>
      <w:r w:rsidR="00094AB4">
        <w:rPr>
          <w:noProof/>
        </w:rPr>
        <w:fldChar w:fldCharType="separate"/>
      </w:r>
      <w:r w:rsidR="001D0133">
        <w:rPr>
          <w:noProof/>
        </w:rPr>
        <w:fldChar w:fldCharType="begin"/>
      </w:r>
      <w:r w:rsidR="001D0133">
        <w:rPr>
          <w:noProof/>
        </w:rPr>
        <w:instrText xml:space="preserve"> INCLUDEPICTURE  "cid:image005.png@01D1B807.4DDB8910" \* MERGEFORMATINET </w:instrText>
      </w:r>
      <w:r w:rsidR="001D0133">
        <w:rPr>
          <w:noProof/>
        </w:rPr>
        <w:fldChar w:fldCharType="separate"/>
      </w:r>
      <w:r w:rsidR="00BE559B">
        <w:rPr>
          <w:noProof/>
        </w:rPr>
        <w:fldChar w:fldCharType="begin"/>
      </w:r>
      <w:r w:rsidR="00BE559B">
        <w:rPr>
          <w:noProof/>
        </w:rPr>
        <w:instrText xml:space="preserve"> INCLUDEPICTURE  "cid:image005.png@01D1B807.4DDB8910" \* MERGEFORMATINET </w:instrText>
      </w:r>
      <w:r w:rsidR="00BE559B">
        <w:rPr>
          <w:noProof/>
        </w:rPr>
        <w:fldChar w:fldCharType="separate"/>
      </w:r>
      <w:r w:rsidR="00371762">
        <w:rPr>
          <w:noProof/>
        </w:rPr>
        <w:fldChar w:fldCharType="begin"/>
      </w:r>
      <w:r w:rsidR="00371762">
        <w:rPr>
          <w:noProof/>
        </w:rPr>
        <w:instrText xml:space="preserve"> INCLUDEPICTURE  "cid:image005.png@01D1B807.4DDB8910" \* MERGEFORMATINET </w:instrText>
      </w:r>
      <w:r w:rsidR="00371762">
        <w:rPr>
          <w:noProof/>
        </w:rPr>
        <w:fldChar w:fldCharType="separate"/>
      </w:r>
      <w:r w:rsidR="00D42829">
        <w:rPr>
          <w:noProof/>
        </w:rPr>
        <w:fldChar w:fldCharType="begin"/>
      </w:r>
      <w:r w:rsidR="00D42829">
        <w:rPr>
          <w:noProof/>
        </w:rPr>
        <w:instrText xml:space="preserve"> INCLUDEPICTURE  "cid:image005.png@01D1B807.4DDB8910" \* MERGEFORMATINET </w:instrText>
      </w:r>
      <w:r w:rsidR="00D42829">
        <w:rPr>
          <w:noProof/>
        </w:rPr>
        <w:fldChar w:fldCharType="separate"/>
      </w:r>
      <w:r w:rsidR="00F07F29">
        <w:rPr>
          <w:noProof/>
        </w:rPr>
        <w:fldChar w:fldCharType="begin"/>
      </w:r>
      <w:r w:rsidR="00F07F29">
        <w:rPr>
          <w:noProof/>
        </w:rPr>
        <w:instrText xml:space="preserve"> INCLUDEPICTURE  "cid:image005.png@01D1B807.4DDB8910" \* MERGEFORMATINET </w:instrText>
      </w:r>
      <w:r w:rsidR="00F07F29">
        <w:rPr>
          <w:noProof/>
        </w:rPr>
        <w:fldChar w:fldCharType="separate"/>
      </w:r>
      <w:r w:rsidR="00E325EE">
        <w:rPr>
          <w:noProof/>
        </w:rPr>
        <w:fldChar w:fldCharType="begin"/>
      </w:r>
      <w:r w:rsidR="00E325EE">
        <w:rPr>
          <w:noProof/>
        </w:rPr>
        <w:instrText xml:space="preserve"> </w:instrText>
      </w:r>
      <w:r w:rsidR="00E325EE">
        <w:rPr>
          <w:noProof/>
        </w:rPr>
        <w:instrText>INCLUDEPICTURE  "cid:image005.png@01D1B807.4DDB8910" \* MERGEFORMATINET</w:instrText>
      </w:r>
      <w:r w:rsidR="00E325EE">
        <w:rPr>
          <w:noProof/>
        </w:rPr>
        <w:instrText xml:space="preserve"> </w:instrText>
      </w:r>
      <w:r w:rsidR="00E325EE">
        <w:rPr>
          <w:noProof/>
        </w:rPr>
        <w:fldChar w:fldCharType="separate"/>
      </w:r>
      <w:r w:rsidR="00881488">
        <w:rPr>
          <w:noProof/>
        </w:rPr>
        <w:pict w14:anchorId="1345DA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5pt;height:152.25pt;visibility:visible">
            <v:imagedata r:id="rId11" r:href="rId12"/>
          </v:shape>
        </w:pict>
      </w:r>
      <w:r w:rsidR="00E325EE">
        <w:rPr>
          <w:noProof/>
        </w:rPr>
        <w:fldChar w:fldCharType="end"/>
      </w:r>
      <w:r w:rsidR="00F07F29">
        <w:rPr>
          <w:noProof/>
        </w:rPr>
        <w:fldChar w:fldCharType="end"/>
      </w:r>
      <w:r w:rsidR="00D42829">
        <w:rPr>
          <w:noProof/>
        </w:rPr>
        <w:fldChar w:fldCharType="end"/>
      </w:r>
      <w:r w:rsidR="00371762">
        <w:rPr>
          <w:noProof/>
        </w:rPr>
        <w:fldChar w:fldCharType="end"/>
      </w:r>
      <w:r w:rsidR="00BE559B">
        <w:rPr>
          <w:noProof/>
        </w:rPr>
        <w:fldChar w:fldCharType="end"/>
      </w:r>
      <w:r w:rsidR="001D0133">
        <w:rPr>
          <w:noProof/>
        </w:rPr>
        <w:fldChar w:fldCharType="end"/>
      </w:r>
      <w:r w:rsidR="00094AB4">
        <w:rPr>
          <w:noProof/>
        </w:rPr>
        <w:fldChar w:fldCharType="end"/>
      </w:r>
      <w:r w:rsidR="00CB7064">
        <w:rPr>
          <w:noProof/>
        </w:rPr>
        <w:fldChar w:fldCharType="end"/>
      </w:r>
      <w:r w:rsidR="00350BFC">
        <w:rPr>
          <w:noProof/>
        </w:rPr>
        <w:fldChar w:fldCharType="end"/>
      </w:r>
      <w:r>
        <w:rPr>
          <w:noProof/>
        </w:rPr>
        <w:fldChar w:fldCharType="end"/>
      </w:r>
      <w:r>
        <w:rPr>
          <w:noProof/>
        </w:rPr>
        <w:fldChar w:fldCharType="end"/>
      </w:r>
      <w:r>
        <w:rPr>
          <w:noProof/>
        </w:rPr>
        <w:fldChar w:fldCharType="end"/>
      </w:r>
    </w:p>
    <w:p w14:paraId="0A478E14" w14:textId="77777777" w:rsidR="00F85293" w:rsidRPr="00C64E51" w:rsidRDefault="00F85293" w:rsidP="00F85293">
      <w:pPr>
        <w:pStyle w:val="Caption"/>
        <w:jc w:val="both"/>
      </w:pPr>
      <w:r w:rsidRPr="00C64E51">
        <w:t xml:space="preserve">Figure </w:t>
      </w:r>
      <w:r>
        <w:fldChar w:fldCharType="begin"/>
      </w:r>
      <w:r w:rsidRPr="00C64E51">
        <w:instrText xml:space="preserve"> SEQ Figure \* ARABIC </w:instrText>
      </w:r>
      <w:r>
        <w:fldChar w:fldCharType="separate"/>
      </w:r>
      <w:r w:rsidRPr="00C64E51">
        <w:rPr>
          <w:noProof/>
        </w:rPr>
        <w:t>4</w:t>
      </w:r>
      <w:r>
        <w:fldChar w:fldCharType="end"/>
      </w:r>
      <w:r w:rsidRPr="00C64E51">
        <w:t xml:space="preserve"> 30 GHz deployment for high speed trains</w:t>
      </w:r>
    </w:p>
    <w:p w14:paraId="76224F2F" w14:textId="77777777" w:rsidR="00F85293" w:rsidRPr="00C64E51" w:rsidRDefault="00F85293" w:rsidP="00F85293"/>
    <w:p w14:paraId="1D44A793" w14:textId="77777777" w:rsidR="00F85293" w:rsidRPr="00C64E51" w:rsidRDefault="00F85293" w:rsidP="00F85293">
      <w:pPr>
        <w:pStyle w:val="Observation"/>
      </w:pPr>
      <w:bookmarkStart w:id="12" w:name="_Toc494754948"/>
      <w:bookmarkStart w:id="13" w:name="_Toc494754974"/>
      <w:r w:rsidRPr="00C64E51">
        <w:t>The high-speed train scenario for high frequencies is based on unidirectional RRH which eliminates the problem with fast-changing Doppler shifts.</w:t>
      </w:r>
      <w:bookmarkEnd w:id="12"/>
      <w:bookmarkEnd w:id="13"/>
    </w:p>
    <w:p w14:paraId="6DDD82A6" w14:textId="77777777" w:rsidR="00F85293" w:rsidRPr="001341A4" w:rsidRDefault="00F85293" w:rsidP="00F85293">
      <w:pPr>
        <w:pStyle w:val="Heading3"/>
        <w:tabs>
          <w:tab w:val="left" w:pos="1701"/>
          <w:tab w:val="right" w:pos="9639"/>
        </w:tabs>
        <w:overflowPunct/>
        <w:autoSpaceDE/>
        <w:autoSpaceDN/>
        <w:adjustRightInd/>
        <w:spacing w:line="259" w:lineRule="auto"/>
        <w:textAlignment w:val="auto"/>
      </w:pPr>
      <w:r w:rsidRPr="001341A4">
        <w:t>Discussion on TRS burst periodicity</w:t>
      </w:r>
    </w:p>
    <w:p w14:paraId="5E5E7DB2" w14:textId="77777777" w:rsidR="00F85293" w:rsidRPr="00C64E51" w:rsidRDefault="00F85293" w:rsidP="00F85293">
      <w:r w:rsidRPr="00717D25">
        <w:t>The maximum periodicity that can be achieved depends on the expected frequency drift of the UE oscillator, the performance of the frequency estimator, and what frequency error one can accept.</w:t>
      </w:r>
      <w:r w:rsidRPr="00C64E51">
        <w:t xml:space="preserve"> In </w:t>
      </w:r>
      <w:r>
        <w:fldChar w:fldCharType="begin"/>
      </w:r>
      <w:r w:rsidRPr="00C64E51">
        <w:instrText xml:space="preserve"> REF _Ref490254739 \r \h </w:instrText>
      </w:r>
      <w:r>
        <w:fldChar w:fldCharType="separate"/>
      </w:r>
      <w:r w:rsidRPr="00C64E51">
        <w:t>[8]</w:t>
      </w:r>
      <w:r>
        <w:fldChar w:fldCharType="end"/>
      </w:r>
      <w:r w:rsidRPr="00C64E51">
        <w:t xml:space="preserve"> Mediatek gave a worst-case frequency drift of 0.16 ppm/sec considering the slope in the temperature stability curve (ppm/</w:t>
      </w:r>
      <w:r w:rsidRPr="00C64E51">
        <w:rPr>
          <w:vertAlign w:val="superscript"/>
        </w:rPr>
        <w:t>o</w:t>
      </w:r>
      <w:r w:rsidRPr="00C64E51">
        <w:t>C), the temperature drift rate (</w:t>
      </w:r>
      <w:r w:rsidRPr="00C64E51">
        <w:rPr>
          <w:vertAlign w:val="superscript"/>
        </w:rPr>
        <w:t>o</w:t>
      </w:r>
      <w:r w:rsidRPr="00C64E51">
        <w:t xml:space="preserve">C/sec) and the experience learned from LTE. </w:t>
      </w:r>
    </w:p>
    <w:p w14:paraId="6A090E99" w14:textId="77777777" w:rsidR="00F85293" w:rsidRPr="00C64E51" w:rsidRDefault="00F85293" w:rsidP="00F85293">
      <w:r w:rsidRPr="00C64E51">
        <w:t xml:space="preserve">Combining this worst-case frequency drift figure from a chipset manufacturer with simulations of the sensitivity of throughput to frequency errors (see </w:t>
      </w:r>
      <w:r>
        <w:fldChar w:fldCharType="begin"/>
      </w:r>
      <w:r w:rsidRPr="00C64E51">
        <w:instrText xml:space="preserve"> REF _Ref490255429 \h </w:instrText>
      </w:r>
      <w:r>
        <w:fldChar w:fldCharType="separate"/>
      </w:r>
      <w:r w:rsidRPr="00717D25">
        <w:t xml:space="preserve">Figure </w:t>
      </w:r>
      <w:r>
        <w:rPr>
          <w:noProof/>
        </w:rPr>
        <w:t>13</w:t>
      </w:r>
      <w:r>
        <w:fldChar w:fldCharType="end"/>
      </w:r>
      <w:r w:rsidRPr="00C64E51">
        <w:t xml:space="preserve"> and </w:t>
      </w:r>
      <w:r>
        <w:fldChar w:fldCharType="begin"/>
      </w:r>
      <w:r w:rsidRPr="00C64E51">
        <w:instrText xml:space="preserve"> REF _Ref490255473 \h </w:instrText>
      </w:r>
      <w:r>
        <w:fldChar w:fldCharType="separate"/>
      </w:r>
      <w:r w:rsidRPr="00717D25">
        <w:t xml:space="preserve">Table </w:t>
      </w:r>
      <w:r>
        <w:rPr>
          <w:noProof/>
        </w:rPr>
        <w:t>8</w:t>
      </w:r>
      <w:r>
        <w:fldChar w:fldCharType="end"/>
      </w:r>
      <w:r w:rsidRPr="00C64E51">
        <w:t xml:space="preserve"> in Appendix 5.1) we can calculate the worst-case throughput loss due to frequency drift for different TRS burst periodicities (see </w:t>
      </w:r>
      <w:r>
        <w:fldChar w:fldCharType="begin"/>
      </w:r>
      <w:r w:rsidRPr="00C64E51">
        <w:instrText xml:space="preserve"> REF _Ref490255555 \h </w:instrText>
      </w:r>
      <w:r>
        <w:fldChar w:fldCharType="separate"/>
      </w:r>
      <w:r w:rsidRPr="00C64E51">
        <w:t xml:space="preserve">Table </w:t>
      </w:r>
      <w:r w:rsidRPr="00C64E51">
        <w:rPr>
          <w:noProof/>
        </w:rPr>
        <w:t>1</w:t>
      </w:r>
      <w:r>
        <w:fldChar w:fldCharType="end"/>
      </w:r>
      <w:r w:rsidRPr="00C64E51">
        <w:t xml:space="preserve">, and further </w:t>
      </w:r>
      <w:r>
        <w:fldChar w:fldCharType="begin"/>
      </w:r>
      <w:r w:rsidRPr="00C64E51">
        <w:instrText xml:space="preserve"> REF _Ref490255559 \h </w:instrText>
      </w:r>
      <w:r>
        <w:fldChar w:fldCharType="separate"/>
      </w:r>
      <w:r w:rsidRPr="00C64E51">
        <w:t xml:space="preserve">Table </w:t>
      </w:r>
      <w:r w:rsidRPr="00C64E51">
        <w:rPr>
          <w:noProof/>
        </w:rPr>
        <w:t>4</w:t>
      </w:r>
      <w:r>
        <w:fldChar w:fldCharType="end"/>
      </w:r>
      <w:r w:rsidRPr="00C64E51">
        <w:t xml:space="preserve">, </w:t>
      </w:r>
      <w:r>
        <w:fldChar w:fldCharType="begin"/>
      </w:r>
      <w:r w:rsidRPr="00C64E51">
        <w:instrText xml:space="preserve"> REF _Ref490255560 \h </w:instrText>
      </w:r>
      <w:r>
        <w:fldChar w:fldCharType="separate"/>
      </w:r>
      <w:r w:rsidRPr="00C64E51">
        <w:t xml:space="preserve">Table </w:t>
      </w:r>
      <w:r w:rsidRPr="00C64E51">
        <w:rPr>
          <w:noProof/>
        </w:rPr>
        <w:t>5</w:t>
      </w:r>
      <w:r>
        <w:fldChar w:fldCharType="end"/>
      </w:r>
      <w:r w:rsidRPr="00C64E51">
        <w:t xml:space="preserve"> and </w:t>
      </w:r>
      <w:r>
        <w:fldChar w:fldCharType="begin"/>
      </w:r>
      <w:r w:rsidRPr="00C64E51">
        <w:instrText xml:space="preserve"> REF _Ref490255569 \h </w:instrText>
      </w:r>
      <w:r>
        <w:fldChar w:fldCharType="separate"/>
      </w:r>
      <w:r w:rsidRPr="00C64E51">
        <w:t xml:space="preserve">Table </w:t>
      </w:r>
      <w:r w:rsidRPr="00C64E51">
        <w:rPr>
          <w:noProof/>
        </w:rPr>
        <w:t>6</w:t>
      </w:r>
      <w:r>
        <w:fldChar w:fldCharType="end"/>
      </w:r>
      <w:r w:rsidRPr="00C64E51">
        <w:t xml:space="preserve"> in Appendix 5.1). Note that the average frequency drift will be half the frequency drift over the full TRS burst period.</w:t>
      </w:r>
    </w:p>
    <w:p w14:paraId="7881E3DD" w14:textId="77777777" w:rsidR="00F85293" w:rsidRPr="00C64E51" w:rsidRDefault="00F85293" w:rsidP="00F85293">
      <w:r w:rsidRPr="00C64E51">
        <w:t>We note that the throughput loss due to frequency drift is very low at low to medium SNR. It becomes significant only at very high SNRs.</w:t>
      </w:r>
    </w:p>
    <w:p w14:paraId="2A0F7EC9" w14:textId="77777777" w:rsidR="00F85293" w:rsidRPr="00C64E51" w:rsidRDefault="00F85293" w:rsidP="00F85293">
      <w:r w:rsidRPr="00C64E51">
        <w:t xml:space="preserve">If we accept a </w:t>
      </w:r>
      <w:r w:rsidRPr="00C64E51">
        <w:rPr>
          <w:u w:val="single"/>
        </w:rPr>
        <w:t>worst-case</w:t>
      </w:r>
      <w:r w:rsidRPr="00C64E51">
        <w:t xml:space="preserve"> throughput loss of 5% at very high SNRs then we can use a TRS burst periodicity of 20ms to 80ms for different combinations of subcarrier spacing and frequencies (see </w:t>
      </w:r>
      <w:r>
        <w:fldChar w:fldCharType="begin"/>
      </w:r>
      <w:r w:rsidRPr="00C64E51">
        <w:instrText xml:space="preserve"> REF _Ref490255555 \h </w:instrText>
      </w:r>
      <w:r>
        <w:fldChar w:fldCharType="separate"/>
      </w:r>
      <w:r w:rsidRPr="00C64E51">
        <w:t xml:space="preserve">Table </w:t>
      </w:r>
      <w:r w:rsidRPr="00C64E51">
        <w:rPr>
          <w:noProof/>
        </w:rPr>
        <w:t>1</w:t>
      </w:r>
      <w:r>
        <w:fldChar w:fldCharType="end"/>
      </w:r>
      <w:r w:rsidRPr="00C64E51">
        <w:t>).</w:t>
      </w:r>
    </w:p>
    <w:p w14:paraId="2F7FB545" w14:textId="77777777" w:rsidR="00F85293" w:rsidRPr="00C64E51" w:rsidRDefault="00F85293" w:rsidP="00F85293"/>
    <w:p w14:paraId="5159E026" w14:textId="77777777" w:rsidR="00F85293" w:rsidRPr="00C64E51" w:rsidRDefault="00F85293" w:rsidP="00F85293">
      <w:pPr>
        <w:pStyle w:val="Caption"/>
        <w:keepNext/>
      </w:pPr>
      <w:bookmarkStart w:id="14" w:name="_Ref490255555"/>
      <w:r w:rsidRPr="00C64E51">
        <w:t xml:space="preserve">Table </w:t>
      </w:r>
      <w:r>
        <w:fldChar w:fldCharType="begin"/>
      </w:r>
      <w:r w:rsidRPr="00C64E51">
        <w:instrText xml:space="preserve"> SEQ Table \* ARABIC </w:instrText>
      </w:r>
      <w:r>
        <w:fldChar w:fldCharType="separate"/>
      </w:r>
      <w:r w:rsidRPr="00C64E51">
        <w:rPr>
          <w:noProof/>
        </w:rPr>
        <w:t>1</w:t>
      </w:r>
      <w:r>
        <w:fldChar w:fldCharType="end"/>
      </w:r>
      <w:bookmarkEnd w:id="14"/>
      <w:r w:rsidRPr="00C64E51">
        <w:t xml:space="preserve"> TRS burst periodicities that will give an insignificant throughput loss at low to medium SNR and a worst-case throughput loss of less than 5% at high SNRs due to worst-case frequency drift.</w:t>
      </w:r>
    </w:p>
    <w:tbl>
      <w:tblPr>
        <w:tblW w:w="3340" w:type="dxa"/>
        <w:jc w:val="center"/>
        <w:tblCellMar>
          <w:top w:w="15" w:type="dxa"/>
          <w:bottom w:w="15" w:type="dxa"/>
        </w:tblCellMar>
        <w:tblLook w:val="04A0" w:firstRow="1" w:lastRow="0" w:firstColumn="1" w:lastColumn="0" w:noHBand="0" w:noVBand="1"/>
      </w:tblPr>
      <w:tblGrid>
        <w:gridCol w:w="2580"/>
        <w:gridCol w:w="760"/>
      </w:tblGrid>
      <w:tr w:rsidR="00F85293" w:rsidRPr="00F46F3E" w14:paraId="09F3BBF2" w14:textId="77777777" w:rsidTr="00C00F97">
        <w:trPr>
          <w:trHeight w:val="315"/>
          <w:jc w:val="center"/>
        </w:trPr>
        <w:tc>
          <w:tcPr>
            <w:tcW w:w="3340" w:type="dxa"/>
            <w:gridSpan w:val="2"/>
            <w:tcBorders>
              <w:top w:val="single" w:sz="4" w:space="0" w:color="auto"/>
              <w:left w:val="single" w:sz="4" w:space="0" w:color="auto"/>
              <w:bottom w:val="single" w:sz="4" w:space="0" w:color="auto"/>
              <w:right w:val="single" w:sz="4" w:space="0" w:color="auto"/>
            </w:tcBorders>
            <w:noWrap/>
            <w:vAlign w:val="bottom"/>
            <w:hideMark/>
          </w:tcPr>
          <w:p w14:paraId="7FF8E19A" w14:textId="77777777" w:rsidR="00F85293" w:rsidRPr="00F46F3E" w:rsidRDefault="00F85293" w:rsidP="00C00F97">
            <w:pPr>
              <w:jc w:val="center"/>
              <w:rPr>
                <w:rFonts w:ascii="Calibri" w:hAnsi="Calibri"/>
                <w:b/>
                <w:bCs/>
                <w:color w:val="000000"/>
                <w:sz w:val="24"/>
                <w:szCs w:val="24"/>
              </w:rPr>
            </w:pPr>
            <w:r w:rsidRPr="00F46F3E">
              <w:rPr>
                <w:rFonts w:ascii="Calibri" w:hAnsi="Calibri"/>
                <w:b/>
                <w:bCs/>
                <w:color w:val="000000"/>
                <w:sz w:val="24"/>
                <w:szCs w:val="24"/>
              </w:rPr>
              <w:t>TRS burst periodicity</w:t>
            </w:r>
          </w:p>
        </w:tc>
      </w:tr>
      <w:tr w:rsidR="00F85293" w:rsidRPr="00F46F3E" w14:paraId="084B57F7" w14:textId="77777777" w:rsidTr="00C00F97">
        <w:trPr>
          <w:trHeight w:val="300"/>
          <w:jc w:val="center"/>
        </w:trPr>
        <w:tc>
          <w:tcPr>
            <w:tcW w:w="2580" w:type="dxa"/>
            <w:tcBorders>
              <w:top w:val="single" w:sz="4" w:space="0" w:color="auto"/>
              <w:left w:val="single" w:sz="4" w:space="0" w:color="auto"/>
              <w:bottom w:val="single" w:sz="4" w:space="0" w:color="auto"/>
              <w:right w:val="single" w:sz="4" w:space="0" w:color="auto"/>
            </w:tcBorders>
            <w:noWrap/>
            <w:vAlign w:val="bottom"/>
            <w:hideMark/>
          </w:tcPr>
          <w:p w14:paraId="667DF513" w14:textId="77777777" w:rsidR="00F85293" w:rsidRPr="00F46F3E" w:rsidRDefault="00F85293" w:rsidP="00C00F97">
            <w:pPr>
              <w:rPr>
                <w:rFonts w:ascii="Calibri" w:hAnsi="Calibri"/>
                <w:color w:val="000000"/>
              </w:rPr>
            </w:pPr>
            <w:r w:rsidRPr="00F46F3E">
              <w:rPr>
                <w:rFonts w:ascii="Calibri" w:hAnsi="Calibri"/>
                <w:color w:val="000000"/>
              </w:rPr>
              <w:t>15kHz SCS at 2 GHz</w:t>
            </w:r>
          </w:p>
        </w:tc>
        <w:tc>
          <w:tcPr>
            <w:tcW w:w="760" w:type="dxa"/>
            <w:tcBorders>
              <w:top w:val="single" w:sz="4" w:space="0" w:color="auto"/>
              <w:left w:val="single" w:sz="4" w:space="0" w:color="auto"/>
              <w:bottom w:val="single" w:sz="4" w:space="0" w:color="auto"/>
              <w:right w:val="single" w:sz="4" w:space="0" w:color="auto"/>
            </w:tcBorders>
            <w:noWrap/>
            <w:vAlign w:val="bottom"/>
            <w:hideMark/>
          </w:tcPr>
          <w:p w14:paraId="092FC2A8" w14:textId="77777777" w:rsidR="00F85293" w:rsidRPr="00F46F3E" w:rsidRDefault="00F85293" w:rsidP="00C00F97">
            <w:pPr>
              <w:rPr>
                <w:rFonts w:ascii="Calibri" w:hAnsi="Calibri"/>
                <w:color w:val="000000"/>
              </w:rPr>
            </w:pPr>
            <w:r w:rsidRPr="00F46F3E">
              <w:rPr>
                <w:rFonts w:ascii="Calibri" w:hAnsi="Calibri"/>
                <w:color w:val="000000"/>
              </w:rPr>
              <w:t>40ms</w:t>
            </w:r>
          </w:p>
        </w:tc>
      </w:tr>
      <w:tr w:rsidR="00F85293" w:rsidRPr="00F46F3E" w14:paraId="1F5EE93F" w14:textId="77777777" w:rsidTr="00C00F97">
        <w:trPr>
          <w:trHeight w:val="300"/>
          <w:jc w:val="center"/>
        </w:trPr>
        <w:tc>
          <w:tcPr>
            <w:tcW w:w="2580" w:type="dxa"/>
            <w:tcBorders>
              <w:top w:val="single" w:sz="4" w:space="0" w:color="auto"/>
              <w:left w:val="single" w:sz="4" w:space="0" w:color="auto"/>
              <w:bottom w:val="single" w:sz="4" w:space="0" w:color="auto"/>
              <w:right w:val="single" w:sz="4" w:space="0" w:color="auto"/>
            </w:tcBorders>
            <w:noWrap/>
            <w:vAlign w:val="bottom"/>
            <w:hideMark/>
          </w:tcPr>
          <w:p w14:paraId="4D7A434C" w14:textId="77777777" w:rsidR="00F85293" w:rsidRPr="00F46F3E" w:rsidRDefault="00F85293" w:rsidP="00C00F97">
            <w:pPr>
              <w:rPr>
                <w:rFonts w:ascii="Calibri" w:hAnsi="Calibri"/>
                <w:color w:val="000000"/>
              </w:rPr>
            </w:pPr>
            <w:r w:rsidRPr="00F46F3E">
              <w:rPr>
                <w:rFonts w:ascii="Calibri" w:hAnsi="Calibri"/>
                <w:color w:val="000000"/>
              </w:rPr>
              <w:t>30kHz SCS at 2 GHz</w:t>
            </w:r>
          </w:p>
        </w:tc>
        <w:tc>
          <w:tcPr>
            <w:tcW w:w="760" w:type="dxa"/>
            <w:tcBorders>
              <w:top w:val="single" w:sz="4" w:space="0" w:color="auto"/>
              <w:left w:val="single" w:sz="4" w:space="0" w:color="auto"/>
              <w:bottom w:val="single" w:sz="4" w:space="0" w:color="auto"/>
              <w:right w:val="single" w:sz="4" w:space="0" w:color="auto"/>
            </w:tcBorders>
            <w:noWrap/>
            <w:vAlign w:val="bottom"/>
            <w:hideMark/>
          </w:tcPr>
          <w:p w14:paraId="667486A9" w14:textId="77777777" w:rsidR="00F85293" w:rsidRPr="00F46F3E" w:rsidRDefault="00F85293" w:rsidP="00C00F97">
            <w:pPr>
              <w:rPr>
                <w:rFonts w:ascii="Calibri" w:hAnsi="Calibri"/>
                <w:color w:val="000000"/>
              </w:rPr>
            </w:pPr>
            <w:r w:rsidRPr="00F46F3E">
              <w:rPr>
                <w:rFonts w:ascii="Calibri" w:hAnsi="Calibri"/>
                <w:color w:val="000000"/>
              </w:rPr>
              <w:t>80ms</w:t>
            </w:r>
          </w:p>
        </w:tc>
      </w:tr>
      <w:tr w:rsidR="00F85293" w:rsidRPr="00F46F3E" w14:paraId="7980F9B0" w14:textId="77777777" w:rsidTr="00C00F97">
        <w:trPr>
          <w:trHeight w:val="300"/>
          <w:jc w:val="center"/>
        </w:trPr>
        <w:tc>
          <w:tcPr>
            <w:tcW w:w="2580" w:type="dxa"/>
            <w:tcBorders>
              <w:top w:val="single" w:sz="4" w:space="0" w:color="auto"/>
              <w:left w:val="single" w:sz="4" w:space="0" w:color="auto"/>
              <w:bottom w:val="single" w:sz="4" w:space="0" w:color="auto"/>
              <w:right w:val="single" w:sz="4" w:space="0" w:color="auto"/>
            </w:tcBorders>
            <w:noWrap/>
            <w:vAlign w:val="bottom"/>
            <w:hideMark/>
          </w:tcPr>
          <w:p w14:paraId="1726E64A" w14:textId="77777777" w:rsidR="00F85293" w:rsidRPr="00F46F3E" w:rsidRDefault="00F85293" w:rsidP="00C00F97">
            <w:pPr>
              <w:rPr>
                <w:rFonts w:ascii="Calibri" w:hAnsi="Calibri"/>
                <w:color w:val="000000"/>
              </w:rPr>
            </w:pPr>
            <w:r w:rsidRPr="00F46F3E">
              <w:rPr>
                <w:rFonts w:ascii="Calibri" w:hAnsi="Calibri"/>
                <w:color w:val="000000"/>
              </w:rPr>
              <w:lastRenderedPageBreak/>
              <w:t>15kHz SCS at 5 GHz</w:t>
            </w:r>
          </w:p>
        </w:tc>
        <w:tc>
          <w:tcPr>
            <w:tcW w:w="760" w:type="dxa"/>
            <w:tcBorders>
              <w:top w:val="single" w:sz="4" w:space="0" w:color="auto"/>
              <w:left w:val="single" w:sz="4" w:space="0" w:color="auto"/>
              <w:bottom w:val="single" w:sz="4" w:space="0" w:color="auto"/>
              <w:right w:val="single" w:sz="4" w:space="0" w:color="auto"/>
            </w:tcBorders>
            <w:noWrap/>
            <w:vAlign w:val="bottom"/>
            <w:hideMark/>
          </w:tcPr>
          <w:p w14:paraId="4A5D5489" w14:textId="77777777" w:rsidR="00F85293" w:rsidRPr="00F46F3E" w:rsidRDefault="00F85293" w:rsidP="00C00F97">
            <w:pPr>
              <w:rPr>
                <w:rFonts w:ascii="Calibri" w:hAnsi="Calibri"/>
                <w:color w:val="000000"/>
              </w:rPr>
            </w:pPr>
            <w:r w:rsidRPr="00F46F3E">
              <w:rPr>
                <w:rFonts w:ascii="Calibri" w:hAnsi="Calibri"/>
                <w:color w:val="000000"/>
              </w:rPr>
              <w:t>20ms</w:t>
            </w:r>
          </w:p>
        </w:tc>
      </w:tr>
      <w:tr w:rsidR="00F85293" w:rsidRPr="00F46F3E" w14:paraId="6C914DBA" w14:textId="77777777" w:rsidTr="00C00F97">
        <w:trPr>
          <w:trHeight w:val="300"/>
          <w:jc w:val="center"/>
        </w:trPr>
        <w:tc>
          <w:tcPr>
            <w:tcW w:w="2580" w:type="dxa"/>
            <w:tcBorders>
              <w:top w:val="single" w:sz="4" w:space="0" w:color="auto"/>
              <w:left w:val="single" w:sz="4" w:space="0" w:color="auto"/>
              <w:bottom w:val="single" w:sz="4" w:space="0" w:color="auto"/>
              <w:right w:val="single" w:sz="4" w:space="0" w:color="auto"/>
            </w:tcBorders>
            <w:noWrap/>
            <w:vAlign w:val="bottom"/>
            <w:hideMark/>
          </w:tcPr>
          <w:p w14:paraId="63F7C0AF" w14:textId="77777777" w:rsidR="00F85293" w:rsidRPr="00F46F3E" w:rsidRDefault="00F85293" w:rsidP="00C00F97">
            <w:pPr>
              <w:rPr>
                <w:rFonts w:ascii="Calibri" w:hAnsi="Calibri"/>
                <w:color w:val="000000"/>
              </w:rPr>
            </w:pPr>
            <w:r w:rsidRPr="00F46F3E">
              <w:rPr>
                <w:rFonts w:ascii="Calibri" w:hAnsi="Calibri"/>
                <w:color w:val="000000"/>
              </w:rPr>
              <w:t>30kHz SCS at 5 GHz</w:t>
            </w:r>
          </w:p>
        </w:tc>
        <w:tc>
          <w:tcPr>
            <w:tcW w:w="760" w:type="dxa"/>
            <w:tcBorders>
              <w:top w:val="single" w:sz="4" w:space="0" w:color="auto"/>
              <w:left w:val="single" w:sz="4" w:space="0" w:color="auto"/>
              <w:bottom w:val="single" w:sz="4" w:space="0" w:color="auto"/>
              <w:right w:val="single" w:sz="4" w:space="0" w:color="auto"/>
            </w:tcBorders>
            <w:noWrap/>
            <w:vAlign w:val="bottom"/>
            <w:hideMark/>
          </w:tcPr>
          <w:p w14:paraId="32A7DB35" w14:textId="77777777" w:rsidR="00F85293" w:rsidRPr="00F46F3E" w:rsidRDefault="00F85293" w:rsidP="00C00F97">
            <w:pPr>
              <w:rPr>
                <w:rFonts w:ascii="Calibri" w:hAnsi="Calibri"/>
                <w:color w:val="000000"/>
              </w:rPr>
            </w:pPr>
            <w:r w:rsidRPr="00F46F3E">
              <w:rPr>
                <w:rFonts w:ascii="Calibri" w:hAnsi="Calibri"/>
                <w:color w:val="000000"/>
              </w:rPr>
              <w:t>40ms</w:t>
            </w:r>
          </w:p>
        </w:tc>
      </w:tr>
    </w:tbl>
    <w:p w14:paraId="1D5FD1BB" w14:textId="77777777" w:rsidR="00F85293" w:rsidRDefault="00F85293" w:rsidP="00F85293"/>
    <w:p w14:paraId="7FFDC1D4" w14:textId="77777777" w:rsidR="00F85293" w:rsidRPr="00C64E51" w:rsidRDefault="00F85293" w:rsidP="00F85293">
      <w:r w:rsidRPr="00C64E51">
        <w:t>We can thus make the following observation:</w:t>
      </w:r>
    </w:p>
    <w:p w14:paraId="4501EC7C" w14:textId="77777777" w:rsidR="00F85293" w:rsidRPr="00C64E51" w:rsidRDefault="00F85293" w:rsidP="00F85293">
      <w:pPr>
        <w:pStyle w:val="Observation"/>
        <w:ind w:left="360" w:hanging="360"/>
      </w:pPr>
      <w:bookmarkStart w:id="15" w:name="_Toc494754949"/>
      <w:bookmarkStart w:id="16" w:name="_Toc494754975"/>
      <w:bookmarkStart w:id="17" w:name="_Hlk490256865"/>
      <w:r w:rsidRPr="00C64E51">
        <w:t>The following TRS burst periodicities will give an insignificant throughput loss at low to medium SNR and a worst-case throughput loss of less than 5% due to a worst-case frequency drift of 0.16ppm/s: 40ms periodicity for 30kHz SCS at 5 GHz; 40ms periodicity for 15kHz SCS at 2 GHz; 80ms periodicity for 30kHz SCS at 2 GHz; 20ms periodicity for 15kHz SCS at 5 GHz; 40ms periodicity for 30kHz SCS at 5 GHz;</w:t>
      </w:r>
      <w:bookmarkEnd w:id="15"/>
      <w:bookmarkEnd w:id="16"/>
    </w:p>
    <w:bookmarkEnd w:id="17"/>
    <w:p w14:paraId="75DA1E4C" w14:textId="77777777" w:rsidR="00F85293" w:rsidRPr="00C64E51" w:rsidRDefault="00F85293" w:rsidP="00F85293">
      <w:r w:rsidRPr="00C64E51">
        <w:t xml:space="preserve">We note that these results are based on LTE numbers on frequency drift. Since LTE was designed, further development is expected and the TCXO, Temperature Controlled Crystal Oscillators have become significantly cheaper. In designing a new radio access technology for the next decade using the TCXO technology should be considered, especially since energy efficiency is a key target for NR. With TCXO </w:t>
      </w:r>
      <w:r w:rsidRPr="00C64E51">
        <w:rPr>
          <w:u w:val="single"/>
        </w:rPr>
        <w:t>significantly longer</w:t>
      </w:r>
      <w:r w:rsidRPr="00C64E51">
        <w:t xml:space="preserve"> TRS burst periodicity could be utilized in NR. </w:t>
      </w:r>
    </w:p>
    <w:p w14:paraId="4BC92DDD" w14:textId="7A59C396" w:rsidR="00F85293" w:rsidRPr="00C64E51" w:rsidRDefault="00F85293" w:rsidP="00F85293">
      <w:r w:rsidRPr="00C64E51">
        <w:t>We note also that any TDD structure must fit with the 20ms periodicity of the SS block. A TRS burst periodicity which is a multiple of 20ms will therefore make it easy both to avoid collisions with the SS block and to ensure that the TRS burst will come in downlink slots.</w:t>
      </w:r>
      <w:r>
        <w:t xml:space="preserve"> In addition, the 20 ms periodicity maps static TDD configurations which has 3 DL and 1 UL slot with 2 or 4 ms repetition pattern. </w:t>
      </w:r>
    </w:p>
    <w:p w14:paraId="7FF1529F" w14:textId="73E3A71F" w:rsidR="00F85293" w:rsidRPr="00C64E51" w:rsidRDefault="00F85293" w:rsidP="00F85293">
      <w:pPr>
        <w:pStyle w:val="Observation"/>
        <w:ind w:left="360" w:hanging="360"/>
      </w:pPr>
      <w:bookmarkStart w:id="18" w:name="_Toc494754950"/>
      <w:bookmarkStart w:id="19" w:name="_Toc494754976"/>
      <w:bookmarkStart w:id="20" w:name="_Hlk490256882"/>
      <w:r w:rsidRPr="00C64E51">
        <w:t>A TRS burst periodicity which is a multiple of 20ms will make it easy both to avoid collisions with the SS block</w:t>
      </w:r>
      <w:r w:rsidR="00F95CD2">
        <w:t>, TDD repetition patterns of 2 or 4 ms duration</w:t>
      </w:r>
      <w:r w:rsidRPr="00C64E51">
        <w:t xml:space="preserve"> to ensure that the TRS burst will come in downlink slots.</w:t>
      </w:r>
      <w:bookmarkEnd w:id="18"/>
      <w:bookmarkEnd w:id="19"/>
    </w:p>
    <w:bookmarkEnd w:id="20"/>
    <w:p w14:paraId="7AD61D41" w14:textId="50F487E0" w:rsidR="00631B4E" w:rsidRDefault="00F85293" w:rsidP="00E062CC">
      <w:r w:rsidRPr="00C64E51">
        <w:t>Based on the analysis above, and the analysis for the high speed UE cases in previous sections, we propose that the TRS should be configurable with a burst periodicity of 20ms, 40ms and 80ms.</w:t>
      </w:r>
      <w:r w:rsidRPr="00C64E51" w:rsidDel="00A0229D">
        <w:t xml:space="preserve"> </w:t>
      </w:r>
      <w:r w:rsidR="00631B4E">
        <w:rPr>
          <w:lang w:eastAsia="zh-CN"/>
        </w:rPr>
        <w:t xml:space="preserve">. </w:t>
      </w:r>
    </w:p>
    <w:p w14:paraId="21B544B5" w14:textId="34827C35" w:rsidR="00E062CC" w:rsidRDefault="00631B4E" w:rsidP="00631B4E">
      <w:pPr>
        <w:pStyle w:val="Proposal"/>
        <w:rPr>
          <w:lang w:eastAsia="zh-CN"/>
        </w:rPr>
      </w:pPr>
      <w:r>
        <w:rPr>
          <w:lang w:eastAsia="zh-CN"/>
        </w:rPr>
        <w:t xml:space="preserve">TRS periodicity smaller than 10ms is not supported  </w:t>
      </w:r>
    </w:p>
    <w:bookmarkEnd w:id="1"/>
    <w:bookmarkEnd w:id="3"/>
    <w:p w14:paraId="436CC0EF" w14:textId="2E9A7F0C" w:rsidR="00FD2926" w:rsidRDefault="00F95CD2" w:rsidP="00F95CD2">
      <w:pPr>
        <w:pStyle w:val="Heading1"/>
        <w:rPr>
          <w:rFonts w:eastAsiaTheme="minorEastAsia"/>
        </w:rPr>
      </w:pPr>
      <w:r>
        <w:rPr>
          <w:rFonts w:eastAsiaTheme="minorEastAsia"/>
        </w:rPr>
        <w:t>Conclusion</w:t>
      </w:r>
    </w:p>
    <w:p w14:paraId="7808AB60" w14:textId="5E51ECD0" w:rsidR="00F95CD2" w:rsidRDefault="00F95CD2" w:rsidP="00FD2926">
      <w:pPr>
        <w:rPr>
          <w:rFonts w:eastAsiaTheme="minorEastAsia"/>
        </w:rPr>
      </w:pPr>
      <w:r>
        <w:rPr>
          <w:rFonts w:eastAsiaTheme="minorEastAsia"/>
        </w:rPr>
        <w:t>We conclude</w:t>
      </w:r>
    </w:p>
    <w:p w14:paraId="565A1A5E" w14:textId="77777777" w:rsidR="00F95CD2" w:rsidRPr="00F95CD2" w:rsidRDefault="00F95CD2" w:rsidP="00F95CD2">
      <w:pPr>
        <w:pStyle w:val="Proposal"/>
        <w:numPr>
          <w:ilvl w:val="0"/>
          <w:numId w:val="23"/>
        </w:numPr>
        <w:rPr>
          <w:lang w:eastAsia="zh-CN"/>
        </w:rPr>
      </w:pPr>
      <w:r w:rsidRPr="00F95CD2">
        <w:rPr>
          <w:lang w:eastAsia="zh-CN"/>
        </w:rPr>
        <w:t xml:space="preserve">TRS periodicity smaller than 10ms is not supported  </w:t>
      </w:r>
    </w:p>
    <w:p w14:paraId="07F6E080" w14:textId="77777777" w:rsidR="00F95CD2" w:rsidRPr="00E062CC" w:rsidRDefault="00F95CD2" w:rsidP="00FD2926">
      <w:pPr>
        <w:rPr>
          <w:rFonts w:eastAsiaTheme="minorEastAsia"/>
        </w:rPr>
      </w:pPr>
    </w:p>
    <w:p w14:paraId="01D8E195" w14:textId="77777777" w:rsidR="00FD2926" w:rsidRPr="00E062CC" w:rsidRDefault="00FD2926" w:rsidP="00FD2926"/>
    <w:sectPr w:rsidR="00FD2926" w:rsidRPr="00E062CC"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18F476" w14:textId="77777777" w:rsidR="00E325EE" w:rsidRDefault="00E325EE">
      <w:r>
        <w:separator/>
      </w:r>
    </w:p>
  </w:endnote>
  <w:endnote w:type="continuationSeparator" w:id="0">
    <w:p w14:paraId="6CF17003" w14:textId="77777777" w:rsidR="00E325EE" w:rsidRDefault="00E32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7F775" w14:textId="77777777" w:rsidR="00E325EE" w:rsidRDefault="00E325EE">
      <w:r>
        <w:separator/>
      </w:r>
    </w:p>
  </w:footnote>
  <w:footnote w:type="continuationSeparator" w:id="0">
    <w:p w14:paraId="298ED740" w14:textId="77777777" w:rsidR="00E325EE" w:rsidRDefault="00E325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0BA082A"/>
    <w:multiLevelType w:val="hybridMultilevel"/>
    <w:tmpl w:val="E2DC9EDA"/>
    <w:lvl w:ilvl="0" w:tplc="BCB6373E">
      <w:start w:val="1"/>
      <w:numFmt w:val="bullet"/>
      <w:lvlText w:val="•"/>
      <w:lvlJc w:val="left"/>
      <w:pPr>
        <w:tabs>
          <w:tab w:val="num" w:pos="720"/>
        </w:tabs>
        <w:ind w:left="720" w:hanging="360"/>
      </w:pPr>
      <w:rPr>
        <w:rFonts w:ascii="Arial" w:hAnsi="Arial" w:hint="default"/>
      </w:rPr>
    </w:lvl>
    <w:lvl w:ilvl="1" w:tplc="AC14269E">
      <w:numFmt w:val="bullet"/>
      <w:lvlText w:val="•"/>
      <w:lvlJc w:val="left"/>
      <w:pPr>
        <w:tabs>
          <w:tab w:val="num" w:pos="1440"/>
        </w:tabs>
        <w:ind w:left="1440" w:hanging="360"/>
      </w:pPr>
      <w:rPr>
        <w:rFonts w:ascii="Arial" w:hAnsi="Arial" w:hint="default"/>
      </w:rPr>
    </w:lvl>
    <w:lvl w:ilvl="2" w:tplc="DFB26904" w:tentative="1">
      <w:start w:val="1"/>
      <w:numFmt w:val="bullet"/>
      <w:lvlText w:val="•"/>
      <w:lvlJc w:val="left"/>
      <w:pPr>
        <w:tabs>
          <w:tab w:val="num" w:pos="2160"/>
        </w:tabs>
        <w:ind w:left="2160" w:hanging="360"/>
      </w:pPr>
      <w:rPr>
        <w:rFonts w:ascii="Arial" w:hAnsi="Arial" w:hint="default"/>
      </w:rPr>
    </w:lvl>
    <w:lvl w:ilvl="3" w:tplc="35C2DA26" w:tentative="1">
      <w:start w:val="1"/>
      <w:numFmt w:val="bullet"/>
      <w:lvlText w:val="•"/>
      <w:lvlJc w:val="left"/>
      <w:pPr>
        <w:tabs>
          <w:tab w:val="num" w:pos="2880"/>
        </w:tabs>
        <w:ind w:left="2880" w:hanging="360"/>
      </w:pPr>
      <w:rPr>
        <w:rFonts w:ascii="Arial" w:hAnsi="Arial" w:hint="default"/>
      </w:rPr>
    </w:lvl>
    <w:lvl w:ilvl="4" w:tplc="71A06952" w:tentative="1">
      <w:start w:val="1"/>
      <w:numFmt w:val="bullet"/>
      <w:lvlText w:val="•"/>
      <w:lvlJc w:val="left"/>
      <w:pPr>
        <w:tabs>
          <w:tab w:val="num" w:pos="3600"/>
        </w:tabs>
        <w:ind w:left="3600" w:hanging="360"/>
      </w:pPr>
      <w:rPr>
        <w:rFonts w:ascii="Arial" w:hAnsi="Arial" w:hint="default"/>
      </w:rPr>
    </w:lvl>
    <w:lvl w:ilvl="5" w:tplc="0FF8F4AC" w:tentative="1">
      <w:start w:val="1"/>
      <w:numFmt w:val="bullet"/>
      <w:lvlText w:val="•"/>
      <w:lvlJc w:val="left"/>
      <w:pPr>
        <w:tabs>
          <w:tab w:val="num" w:pos="4320"/>
        </w:tabs>
        <w:ind w:left="4320" w:hanging="360"/>
      </w:pPr>
      <w:rPr>
        <w:rFonts w:ascii="Arial" w:hAnsi="Arial" w:hint="default"/>
      </w:rPr>
    </w:lvl>
    <w:lvl w:ilvl="6" w:tplc="264C7834" w:tentative="1">
      <w:start w:val="1"/>
      <w:numFmt w:val="bullet"/>
      <w:lvlText w:val="•"/>
      <w:lvlJc w:val="left"/>
      <w:pPr>
        <w:tabs>
          <w:tab w:val="num" w:pos="5040"/>
        </w:tabs>
        <w:ind w:left="5040" w:hanging="360"/>
      </w:pPr>
      <w:rPr>
        <w:rFonts w:ascii="Arial" w:hAnsi="Arial" w:hint="default"/>
      </w:rPr>
    </w:lvl>
    <w:lvl w:ilvl="7" w:tplc="E272CFB6" w:tentative="1">
      <w:start w:val="1"/>
      <w:numFmt w:val="bullet"/>
      <w:lvlText w:val="•"/>
      <w:lvlJc w:val="left"/>
      <w:pPr>
        <w:tabs>
          <w:tab w:val="num" w:pos="5760"/>
        </w:tabs>
        <w:ind w:left="5760" w:hanging="360"/>
      </w:pPr>
      <w:rPr>
        <w:rFonts w:ascii="Arial" w:hAnsi="Arial" w:hint="default"/>
      </w:rPr>
    </w:lvl>
    <w:lvl w:ilvl="8" w:tplc="FF12E0F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53C5DF6"/>
    <w:multiLevelType w:val="hybridMultilevel"/>
    <w:tmpl w:val="D4044D24"/>
    <w:lvl w:ilvl="0" w:tplc="D258F6F8">
      <w:start w:val="1"/>
      <w:numFmt w:val="bullet"/>
      <w:lvlText w:val="›"/>
      <w:lvlJc w:val="left"/>
      <w:pPr>
        <w:tabs>
          <w:tab w:val="num" w:pos="720"/>
        </w:tabs>
        <w:ind w:left="720" w:hanging="360"/>
      </w:pPr>
      <w:rPr>
        <w:rFonts w:ascii="Arial" w:hAnsi="Arial" w:hint="default"/>
      </w:rPr>
    </w:lvl>
    <w:lvl w:ilvl="1" w:tplc="463869E6" w:tentative="1">
      <w:start w:val="1"/>
      <w:numFmt w:val="bullet"/>
      <w:lvlText w:val="›"/>
      <w:lvlJc w:val="left"/>
      <w:pPr>
        <w:tabs>
          <w:tab w:val="num" w:pos="1440"/>
        </w:tabs>
        <w:ind w:left="1440" w:hanging="360"/>
      </w:pPr>
      <w:rPr>
        <w:rFonts w:ascii="Arial" w:hAnsi="Arial" w:hint="default"/>
      </w:rPr>
    </w:lvl>
    <w:lvl w:ilvl="2" w:tplc="3B7A357A" w:tentative="1">
      <w:start w:val="1"/>
      <w:numFmt w:val="bullet"/>
      <w:lvlText w:val="›"/>
      <w:lvlJc w:val="left"/>
      <w:pPr>
        <w:tabs>
          <w:tab w:val="num" w:pos="2160"/>
        </w:tabs>
        <w:ind w:left="2160" w:hanging="360"/>
      </w:pPr>
      <w:rPr>
        <w:rFonts w:ascii="Arial" w:hAnsi="Arial" w:hint="default"/>
      </w:rPr>
    </w:lvl>
    <w:lvl w:ilvl="3" w:tplc="F42E10FE" w:tentative="1">
      <w:start w:val="1"/>
      <w:numFmt w:val="bullet"/>
      <w:lvlText w:val="›"/>
      <w:lvlJc w:val="left"/>
      <w:pPr>
        <w:tabs>
          <w:tab w:val="num" w:pos="2880"/>
        </w:tabs>
        <w:ind w:left="2880" w:hanging="360"/>
      </w:pPr>
      <w:rPr>
        <w:rFonts w:ascii="Arial" w:hAnsi="Arial" w:hint="default"/>
      </w:rPr>
    </w:lvl>
    <w:lvl w:ilvl="4" w:tplc="290050C2" w:tentative="1">
      <w:start w:val="1"/>
      <w:numFmt w:val="bullet"/>
      <w:lvlText w:val="›"/>
      <w:lvlJc w:val="left"/>
      <w:pPr>
        <w:tabs>
          <w:tab w:val="num" w:pos="3600"/>
        </w:tabs>
        <w:ind w:left="3600" w:hanging="360"/>
      </w:pPr>
      <w:rPr>
        <w:rFonts w:ascii="Arial" w:hAnsi="Arial" w:hint="default"/>
      </w:rPr>
    </w:lvl>
    <w:lvl w:ilvl="5" w:tplc="75F4A31E" w:tentative="1">
      <w:start w:val="1"/>
      <w:numFmt w:val="bullet"/>
      <w:lvlText w:val="›"/>
      <w:lvlJc w:val="left"/>
      <w:pPr>
        <w:tabs>
          <w:tab w:val="num" w:pos="4320"/>
        </w:tabs>
        <w:ind w:left="4320" w:hanging="360"/>
      </w:pPr>
      <w:rPr>
        <w:rFonts w:ascii="Arial" w:hAnsi="Arial" w:hint="default"/>
      </w:rPr>
    </w:lvl>
    <w:lvl w:ilvl="6" w:tplc="50DEE8EA" w:tentative="1">
      <w:start w:val="1"/>
      <w:numFmt w:val="bullet"/>
      <w:lvlText w:val="›"/>
      <w:lvlJc w:val="left"/>
      <w:pPr>
        <w:tabs>
          <w:tab w:val="num" w:pos="5040"/>
        </w:tabs>
        <w:ind w:left="5040" w:hanging="360"/>
      </w:pPr>
      <w:rPr>
        <w:rFonts w:ascii="Arial" w:hAnsi="Arial" w:hint="default"/>
      </w:rPr>
    </w:lvl>
    <w:lvl w:ilvl="7" w:tplc="FBF6BE8E" w:tentative="1">
      <w:start w:val="1"/>
      <w:numFmt w:val="bullet"/>
      <w:lvlText w:val="›"/>
      <w:lvlJc w:val="left"/>
      <w:pPr>
        <w:tabs>
          <w:tab w:val="num" w:pos="5760"/>
        </w:tabs>
        <w:ind w:left="5760" w:hanging="360"/>
      </w:pPr>
      <w:rPr>
        <w:rFonts w:ascii="Arial" w:hAnsi="Arial" w:hint="default"/>
      </w:rPr>
    </w:lvl>
    <w:lvl w:ilvl="8" w:tplc="F8FA374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B9672D"/>
    <w:multiLevelType w:val="hybridMultilevel"/>
    <w:tmpl w:val="1346D7BA"/>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07596E"/>
    <w:multiLevelType w:val="hybridMultilevel"/>
    <w:tmpl w:val="4E406F6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9F5486"/>
    <w:multiLevelType w:val="hybridMultilevel"/>
    <w:tmpl w:val="AFACD5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2"/>
  </w:num>
  <w:num w:numId="4">
    <w:abstractNumId w:val="13"/>
  </w:num>
  <w:num w:numId="5">
    <w:abstractNumId w:val="8"/>
  </w:num>
  <w:num w:numId="6">
    <w:abstractNumId w:val="14"/>
  </w:num>
  <w:num w:numId="7">
    <w:abstractNumId w:val="17"/>
  </w:num>
  <w:num w:numId="8">
    <w:abstractNumId w:val="9"/>
  </w:num>
  <w:num w:numId="9">
    <w:abstractNumId w:val="7"/>
  </w:num>
  <w:num w:numId="10">
    <w:abstractNumId w:val="2"/>
  </w:num>
  <w:num w:numId="11">
    <w:abstractNumId w:val="1"/>
  </w:num>
  <w:num w:numId="12">
    <w:abstractNumId w:val="0"/>
  </w:num>
  <w:num w:numId="13">
    <w:abstractNumId w:val="16"/>
  </w:num>
  <w:num w:numId="14">
    <w:abstractNumId w:val="10"/>
  </w:num>
  <w:num w:numId="15">
    <w:abstractNumId w:val="11"/>
  </w:num>
  <w:num w:numId="16">
    <w:abstractNumId w:val="3"/>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num>
  <w:num w:numId="19">
    <w:abstractNumId w:val="5"/>
  </w:num>
  <w:num w:numId="20">
    <w:abstractNumId w:val="19"/>
  </w:num>
  <w:num w:numId="21">
    <w:abstractNumId w:val="18"/>
  </w:num>
  <w:num w:numId="22">
    <w:abstractNumId w:val="6"/>
  </w:num>
  <w:num w:numId="23">
    <w:abstractNumId w:val="12"/>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449"/>
    <w:rsid w:val="00036637"/>
    <w:rsid w:val="000366BE"/>
    <w:rsid w:val="00036BA1"/>
    <w:rsid w:val="00042009"/>
    <w:rsid w:val="000422E2"/>
    <w:rsid w:val="00042F22"/>
    <w:rsid w:val="000444EF"/>
    <w:rsid w:val="00050D66"/>
    <w:rsid w:val="000511C3"/>
    <w:rsid w:val="00051FD8"/>
    <w:rsid w:val="00052600"/>
    <w:rsid w:val="00052A07"/>
    <w:rsid w:val="000534E3"/>
    <w:rsid w:val="0005606A"/>
    <w:rsid w:val="00057117"/>
    <w:rsid w:val="000616E7"/>
    <w:rsid w:val="0006357F"/>
    <w:rsid w:val="0006487E"/>
    <w:rsid w:val="00065E1A"/>
    <w:rsid w:val="00077E5F"/>
    <w:rsid w:val="0008036A"/>
    <w:rsid w:val="00081AE6"/>
    <w:rsid w:val="00082B84"/>
    <w:rsid w:val="000855EB"/>
    <w:rsid w:val="00085B52"/>
    <w:rsid w:val="00085DBA"/>
    <w:rsid w:val="000866F2"/>
    <w:rsid w:val="0009009F"/>
    <w:rsid w:val="00091557"/>
    <w:rsid w:val="000924C1"/>
    <w:rsid w:val="000924F0"/>
    <w:rsid w:val="00093474"/>
    <w:rsid w:val="00094AB4"/>
    <w:rsid w:val="0009510F"/>
    <w:rsid w:val="0009585E"/>
    <w:rsid w:val="000A1B7B"/>
    <w:rsid w:val="000A56F2"/>
    <w:rsid w:val="000B00C0"/>
    <w:rsid w:val="000B2719"/>
    <w:rsid w:val="000B3A8F"/>
    <w:rsid w:val="000B4AB9"/>
    <w:rsid w:val="000B58C3"/>
    <w:rsid w:val="000B61E9"/>
    <w:rsid w:val="000C165A"/>
    <w:rsid w:val="000C2E19"/>
    <w:rsid w:val="000C4C24"/>
    <w:rsid w:val="000C5734"/>
    <w:rsid w:val="000D0D07"/>
    <w:rsid w:val="000D4797"/>
    <w:rsid w:val="000E0527"/>
    <w:rsid w:val="000E1E92"/>
    <w:rsid w:val="000E4CD9"/>
    <w:rsid w:val="000F0143"/>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68F5"/>
    <w:rsid w:val="00147AFC"/>
    <w:rsid w:val="00151E23"/>
    <w:rsid w:val="001526E0"/>
    <w:rsid w:val="0015373E"/>
    <w:rsid w:val="001551B5"/>
    <w:rsid w:val="00160686"/>
    <w:rsid w:val="001642D1"/>
    <w:rsid w:val="001659C1"/>
    <w:rsid w:val="00173A8E"/>
    <w:rsid w:val="00175881"/>
    <w:rsid w:val="0018143F"/>
    <w:rsid w:val="00185D27"/>
    <w:rsid w:val="00190AC1"/>
    <w:rsid w:val="0019341A"/>
    <w:rsid w:val="00197DF9"/>
    <w:rsid w:val="001A1987"/>
    <w:rsid w:val="001A1D0F"/>
    <w:rsid w:val="001A2564"/>
    <w:rsid w:val="001A6173"/>
    <w:rsid w:val="001A6CBA"/>
    <w:rsid w:val="001B0D97"/>
    <w:rsid w:val="001B5A5D"/>
    <w:rsid w:val="001C1CE5"/>
    <w:rsid w:val="001C3D2A"/>
    <w:rsid w:val="001D0133"/>
    <w:rsid w:val="001D0554"/>
    <w:rsid w:val="001D51BA"/>
    <w:rsid w:val="001D6342"/>
    <w:rsid w:val="001D6D53"/>
    <w:rsid w:val="001E1DFA"/>
    <w:rsid w:val="001E2560"/>
    <w:rsid w:val="001E58E2"/>
    <w:rsid w:val="001E7AED"/>
    <w:rsid w:val="001F3916"/>
    <w:rsid w:val="001F50B4"/>
    <w:rsid w:val="001F54C5"/>
    <w:rsid w:val="001F662C"/>
    <w:rsid w:val="001F7074"/>
    <w:rsid w:val="00200490"/>
    <w:rsid w:val="00201F3A"/>
    <w:rsid w:val="00203F96"/>
    <w:rsid w:val="002069B2"/>
    <w:rsid w:val="002074FE"/>
    <w:rsid w:val="00207FA3"/>
    <w:rsid w:val="00214DA8"/>
    <w:rsid w:val="00215423"/>
    <w:rsid w:val="002158FA"/>
    <w:rsid w:val="00220600"/>
    <w:rsid w:val="00220DD8"/>
    <w:rsid w:val="002224DB"/>
    <w:rsid w:val="00223FCB"/>
    <w:rsid w:val="00224FFE"/>
    <w:rsid w:val="002252C3"/>
    <w:rsid w:val="00225C54"/>
    <w:rsid w:val="00225CBC"/>
    <w:rsid w:val="00230765"/>
    <w:rsid w:val="002319E4"/>
    <w:rsid w:val="00235632"/>
    <w:rsid w:val="00235872"/>
    <w:rsid w:val="00241559"/>
    <w:rsid w:val="002435B3"/>
    <w:rsid w:val="002451ED"/>
    <w:rsid w:val="002458EB"/>
    <w:rsid w:val="00245D11"/>
    <w:rsid w:val="002500C8"/>
    <w:rsid w:val="002562FA"/>
    <w:rsid w:val="00257543"/>
    <w:rsid w:val="002611E7"/>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A7E"/>
    <w:rsid w:val="002A1D4E"/>
    <w:rsid w:val="002A2869"/>
    <w:rsid w:val="002A7BBA"/>
    <w:rsid w:val="002B24D6"/>
    <w:rsid w:val="002B66DA"/>
    <w:rsid w:val="002C03E0"/>
    <w:rsid w:val="002C229A"/>
    <w:rsid w:val="002C41E6"/>
    <w:rsid w:val="002D071A"/>
    <w:rsid w:val="002D34B2"/>
    <w:rsid w:val="002D7637"/>
    <w:rsid w:val="002E17F2"/>
    <w:rsid w:val="002E5D95"/>
    <w:rsid w:val="002E7CAE"/>
    <w:rsid w:val="002F2771"/>
    <w:rsid w:val="002F37A9"/>
    <w:rsid w:val="002F6288"/>
    <w:rsid w:val="00301CE6"/>
    <w:rsid w:val="0030256B"/>
    <w:rsid w:val="0030501F"/>
    <w:rsid w:val="00307407"/>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370BA"/>
    <w:rsid w:val="00342BD7"/>
    <w:rsid w:val="00346DB5"/>
    <w:rsid w:val="003477B1"/>
    <w:rsid w:val="00350BFC"/>
    <w:rsid w:val="00356A14"/>
    <w:rsid w:val="00357380"/>
    <w:rsid w:val="003602D9"/>
    <w:rsid w:val="003604CE"/>
    <w:rsid w:val="00362C07"/>
    <w:rsid w:val="00370E47"/>
    <w:rsid w:val="00371762"/>
    <w:rsid w:val="003742AC"/>
    <w:rsid w:val="00374ADB"/>
    <w:rsid w:val="00377CE1"/>
    <w:rsid w:val="00385BF0"/>
    <w:rsid w:val="003939FF"/>
    <w:rsid w:val="00395913"/>
    <w:rsid w:val="003A0E41"/>
    <w:rsid w:val="003A2223"/>
    <w:rsid w:val="003A2A0F"/>
    <w:rsid w:val="003A45A1"/>
    <w:rsid w:val="003A5B0A"/>
    <w:rsid w:val="003A6BAC"/>
    <w:rsid w:val="003A6BDC"/>
    <w:rsid w:val="003A6F3C"/>
    <w:rsid w:val="003A7EF3"/>
    <w:rsid w:val="003B159C"/>
    <w:rsid w:val="003B369F"/>
    <w:rsid w:val="003B36A3"/>
    <w:rsid w:val="003B7FE5"/>
    <w:rsid w:val="003C11C8"/>
    <w:rsid w:val="003C2702"/>
    <w:rsid w:val="003C7806"/>
    <w:rsid w:val="003D109F"/>
    <w:rsid w:val="003D2478"/>
    <w:rsid w:val="003D3C45"/>
    <w:rsid w:val="003D5B1F"/>
    <w:rsid w:val="003E15FA"/>
    <w:rsid w:val="003E4624"/>
    <w:rsid w:val="003E55E4"/>
    <w:rsid w:val="003E74E3"/>
    <w:rsid w:val="003F05C7"/>
    <w:rsid w:val="003F2CD4"/>
    <w:rsid w:val="003F6BBE"/>
    <w:rsid w:val="004000E8"/>
    <w:rsid w:val="004018A8"/>
    <w:rsid w:val="00402E2B"/>
    <w:rsid w:val="004033B5"/>
    <w:rsid w:val="004050EA"/>
    <w:rsid w:val="0040512B"/>
    <w:rsid w:val="00405CA5"/>
    <w:rsid w:val="00407CD3"/>
    <w:rsid w:val="00410134"/>
    <w:rsid w:val="00410B72"/>
    <w:rsid w:val="00410F18"/>
    <w:rsid w:val="0041263E"/>
    <w:rsid w:val="00412739"/>
    <w:rsid w:val="00413AAC"/>
    <w:rsid w:val="00413E92"/>
    <w:rsid w:val="00420251"/>
    <w:rsid w:val="00421105"/>
    <w:rsid w:val="004242F4"/>
    <w:rsid w:val="00427248"/>
    <w:rsid w:val="00430D31"/>
    <w:rsid w:val="00433FC3"/>
    <w:rsid w:val="00437447"/>
    <w:rsid w:val="00441782"/>
    <w:rsid w:val="00441A92"/>
    <w:rsid w:val="00444F56"/>
    <w:rsid w:val="00446488"/>
    <w:rsid w:val="004517AA"/>
    <w:rsid w:val="00452CAC"/>
    <w:rsid w:val="00457565"/>
    <w:rsid w:val="00457B71"/>
    <w:rsid w:val="004608CC"/>
    <w:rsid w:val="00465ABC"/>
    <w:rsid w:val="004669E2"/>
    <w:rsid w:val="00470C31"/>
    <w:rsid w:val="004734D0"/>
    <w:rsid w:val="0047556B"/>
    <w:rsid w:val="00477768"/>
    <w:rsid w:val="00483BC9"/>
    <w:rsid w:val="00492BC5"/>
    <w:rsid w:val="004964F1"/>
    <w:rsid w:val="004964FA"/>
    <w:rsid w:val="004A16BC"/>
    <w:rsid w:val="004A2B94"/>
    <w:rsid w:val="004A719E"/>
    <w:rsid w:val="004B7C0C"/>
    <w:rsid w:val="004C3898"/>
    <w:rsid w:val="004C659B"/>
    <w:rsid w:val="004D36B1"/>
    <w:rsid w:val="004D7EBD"/>
    <w:rsid w:val="004E039A"/>
    <w:rsid w:val="004E2680"/>
    <w:rsid w:val="004E28F9"/>
    <w:rsid w:val="004E462E"/>
    <w:rsid w:val="004E56DC"/>
    <w:rsid w:val="004E76F4"/>
    <w:rsid w:val="004E77C6"/>
    <w:rsid w:val="004F0B4E"/>
    <w:rsid w:val="004F0B6C"/>
    <w:rsid w:val="004F2078"/>
    <w:rsid w:val="004F4DA3"/>
    <w:rsid w:val="00506557"/>
    <w:rsid w:val="0050677A"/>
    <w:rsid w:val="005108D8"/>
    <w:rsid w:val="00510CE8"/>
    <w:rsid w:val="005116F9"/>
    <w:rsid w:val="00515084"/>
    <w:rsid w:val="005153A7"/>
    <w:rsid w:val="005219CF"/>
    <w:rsid w:val="00534B59"/>
    <w:rsid w:val="00536759"/>
    <w:rsid w:val="00537C62"/>
    <w:rsid w:val="00545F8F"/>
    <w:rsid w:val="00546970"/>
    <w:rsid w:val="00551D2B"/>
    <w:rsid w:val="005536B8"/>
    <w:rsid w:val="00554192"/>
    <w:rsid w:val="00554E19"/>
    <w:rsid w:val="0056121F"/>
    <w:rsid w:val="00571238"/>
    <w:rsid w:val="00572505"/>
    <w:rsid w:val="005738F6"/>
    <w:rsid w:val="00575DA6"/>
    <w:rsid w:val="00582809"/>
    <w:rsid w:val="00583D71"/>
    <w:rsid w:val="0058798C"/>
    <w:rsid w:val="005900FA"/>
    <w:rsid w:val="005935A4"/>
    <w:rsid w:val="005948C2"/>
    <w:rsid w:val="00595DCA"/>
    <w:rsid w:val="0059779B"/>
    <w:rsid w:val="005A209A"/>
    <w:rsid w:val="005A662D"/>
    <w:rsid w:val="005B35D7"/>
    <w:rsid w:val="005B392A"/>
    <w:rsid w:val="005B3AA3"/>
    <w:rsid w:val="005B6F83"/>
    <w:rsid w:val="005C2341"/>
    <w:rsid w:val="005C274B"/>
    <w:rsid w:val="005C5BF6"/>
    <w:rsid w:val="005C6DD7"/>
    <w:rsid w:val="005C74FB"/>
    <w:rsid w:val="005D1602"/>
    <w:rsid w:val="005E385F"/>
    <w:rsid w:val="005E5B81"/>
    <w:rsid w:val="005F2CB1"/>
    <w:rsid w:val="005F3025"/>
    <w:rsid w:val="005F32F7"/>
    <w:rsid w:val="005F618C"/>
    <w:rsid w:val="005F70BD"/>
    <w:rsid w:val="0060283C"/>
    <w:rsid w:val="00604F14"/>
    <w:rsid w:val="00611B83"/>
    <w:rsid w:val="00613257"/>
    <w:rsid w:val="006162D3"/>
    <w:rsid w:val="00620A71"/>
    <w:rsid w:val="00620D80"/>
    <w:rsid w:val="006234A6"/>
    <w:rsid w:val="00630001"/>
    <w:rsid w:val="006311B3"/>
    <w:rsid w:val="00631B4E"/>
    <w:rsid w:val="0063284C"/>
    <w:rsid w:val="0063440A"/>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945"/>
    <w:rsid w:val="006671AF"/>
    <w:rsid w:val="00667EE7"/>
    <w:rsid w:val="00670922"/>
    <w:rsid w:val="00670BE1"/>
    <w:rsid w:val="0067218F"/>
    <w:rsid w:val="00672D59"/>
    <w:rsid w:val="006741F2"/>
    <w:rsid w:val="00674CC3"/>
    <w:rsid w:val="00675C72"/>
    <w:rsid w:val="00676431"/>
    <w:rsid w:val="006771F9"/>
    <w:rsid w:val="006776D7"/>
    <w:rsid w:val="00681003"/>
    <w:rsid w:val="006817C9"/>
    <w:rsid w:val="00683ECE"/>
    <w:rsid w:val="006867CD"/>
    <w:rsid w:val="00687CFA"/>
    <w:rsid w:val="00690877"/>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64DB"/>
    <w:rsid w:val="006C7522"/>
    <w:rsid w:val="006C7B96"/>
    <w:rsid w:val="006D6F08"/>
    <w:rsid w:val="006E062C"/>
    <w:rsid w:val="006E1514"/>
    <w:rsid w:val="006E1853"/>
    <w:rsid w:val="006E2288"/>
    <w:rsid w:val="006E28B7"/>
    <w:rsid w:val="006E3310"/>
    <w:rsid w:val="006E4E39"/>
    <w:rsid w:val="006E565E"/>
    <w:rsid w:val="006E673D"/>
    <w:rsid w:val="006E6F50"/>
    <w:rsid w:val="006E7D3B"/>
    <w:rsid w:val="006F04E2"/>
    <w:rsid w:val="006F1B70"/>
    <w:rsid w:val="006F1FDE"/>
    <w:rsid w:val="006F341D"/>
    <w:rsid w:val="006F3CDE"/>
    <w:rsid w:val="006F58D4"/>
    <w:rsid w:val="0070346E"/>
    <w:rsid w:val="00704C41"/>
    <w:rsid w:val="00704EDB"/>
    <w:rsid w:val="00706101"/>
    <w:rsid w:val="00707072"/>
    <w:rsid w:val="00707D61"/>
    <w:rsid w:val="00712287"/>
    <w:rsid w:val="00712772"/>
    <w:rsid w:val="007148D3"/>
    <w:rsid w:val="00715B9A"/>
    <w:rsid w:val="007207F6"/>
    <w:rsid w:val="00726EA6"/>
    <w:rsid w:val="00727208"/>
    <w:rsid w:val="00727680"/>
    <w:rsid w:val="00733970"/>
    <w:rsid w:val="007348B1"/>
    <w:rsid w:val="007362A6"/>
    <w:rsid w:val="00736468"/>
    <w:rsid w:val="00736D7D"/>
    <w:rsid w:val="00737FB0"/>
    <w:rsid w:val="00740E58"/>
    <w:rsid w:val="007445A0"/>
    <w:rsid w:val="0074524B"/>
    <w:rsid w:val="00747D8B"/>
    <w:rsid w:val="00751228"/>
    <w:rsid w:val="00752BB8"/>
    <w:rsid w:val="007571E1"/>
    <w:rsid w:val="007604B2"/>
    <w:rsid w:val="00765281"/>
    <w:rsid w:val="00766BAD"/>
    <w:rsid w:val="007679B0"/>
    <w:rsid w:val="007755F2"/>
    <w:rsid w:val="00776971"/>
    <w:rsid w:val="00777D37"/>
    <w:rsid w:val="0078177E"/>
    <w:rsid w:val="0078304C"/>
    <w:rsid w:val="00783673"/>
    <w:rsid w:val="00785490"/>
    <w:rsid w:val="00786805"/>
    <w:rsid w:val="00790B99"/>
    <w:rsid w:val="007925EA"/>
    <w:rsid w:val="00792F39"/>
    <w:rsid w:val="00793CD8"/>
    <w:rsid w:val="00795C92"/>
    <w:rsid w:val="00796231"/>
    <w:rsid w:val="007A1CB3"/>
    <w:rsid w:val="007A306F"/>
    <w:rsid w:val="007A43A6"/>
    <w:rsid w:val="007A58A6"/>
    <w:rsid w:val="007A5B38"/>
    <w:rsid w:val="007B3D2D"/>
    <w:rsid w:val="007B50AE"/>
    <w:rsid w:val="007B51DF"/>
    <w:rsid w:val="007B6FE7"/>
    <w:rsid w:val="007B7374"/>
    <w:rsid w:val="007C05DD"/>
    <w:rsid w:val="007C3D18"/>
    <w:rsid w:val="007C60BF"/>
    <w:rsid w:val="007C6A07"/>
    <w:rsid w:val="007C75A1"/>
    <w:rsid w:val="007C77A5"/>
    <w:rsid w:val="007D04E5"/>
    <w:rsid w:val="007D2489"/>
    <w:rsid w:val="007D5901"/>
    <w:rsid w:val="007D7526"/>
    <w:rsid w:val="007E4610"/>
    <w:rsid w:val="007E4715"/>
    <w:rsid w:val="007E505B"/>
    <w:rsid w:val="007E6BD0"/>
    <w:rsid w:val="007E7091"/>
    <w:rsid w:val="007F75D5"/>
    <w:rsid w:val="00803FAE"/>
    <w:rsid w:val="0080605F"/>
    <w:rsid w:val="00806EE7"/>
    <w:rsid w:val="00807786"/>
    <w:rsid w:val="00811FCB"/>
    <w:rsid w:val="00812FD2"/>
    <w:rsid w:val="008158D6"/>
    <w:rsid w:val="00817196"/>
    <w:rsid w:val="008235DB"/>
    <w:rsid w:val="00824AB4"/>
    <w:rsid w:val="00825C42"/>
    <w:rsid w:val="00825D25"/>
    <w:rsid w:val="00827D6F"/>
    <w:rsid w:val="008376AC"/>
    <w:rsid w:val="008444E8"/>
    <w:rsid w:val="00844E80"/>
    <w:rsid w:val="00846FE7"/>
    <w:rsid w:val="00856911"/>
    <w:rsid w:val="00865031"/>
    <w:rsid w:val="008677FD"/>
    <w:rsid w:val="008706D4"/>
    <w:rsid w:val="00870F8A"/>
    <w:rsid w:val="008719A4"/>
    <w:rsid w:val="00871D23"/>
    <w:rsid w:val="00874312"/>
    <w:rsid w:val="0087437C"/>
    <w:rsid w:val="00875CD7"/>
    <w:rsid w:val="00876B4D"/>
    <w:rsid w:val="00877F18"/>
    <w:rsid w:val="00881488"/>
    <w:rsid w:val="00894A88"/>
    <w:rsid w:val="00895386"/>
    <w:rsid w:val="008A21FF"/>
    <w:rsid w:val="008A2CE2"/>
    <w:rsid w:val="008A30AC"/>
    <w:rsid w:val="008A44B8"/>
    <w:rsid w:val="008A51A8"/>
    <w:rsid w:val="008A54C7"/>
    <w:rsid w:val="008A77D8"/>
    <w:rsid w:val="008B0483"/>
    <w:rsid w:val="008B120C"/>
    <w:rsid w:val="008B32F0"/>
    <w:rsid w:val="008B349E"/>
    <w:rsid w:val="008B51A0"/>
    <w:rsid w:val="008B592A"/>
    <w:rsid w:val="008B5E3C"/>
    <w:rsid w:val="008B6624"/>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5BB7"/>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5DBB"/>
    <w:rsid w:val="00946945"/>
    <w:rsid w:val="00947713"/>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90630"/>
    <w:rsid w:val="00991761"/>
    <w:rsid w:val="00994DCA"/>
    <w:rsid w:val="009960EC"/>
    <w:rsid w:val="0099707F"/>
    <w:rsid w:val="009970DD"/>
    <w:rsid w:val="00997CB2"/>
    <w:rsid w:val="009A0FBA"/>
    <w:rsid w:val="009A1601"/>
    <w:rsid w:val="009A18A7"/>
    <w:rsid w:val="009A462D"/>
    <w:rsid w:val="009A5CBA"/>
    <w:rsid w:val="009B041A"/>
    <w:rsid w:val="009B1F30"/>
    <w:rsid w:val="009B3AC2"/>
    <w:rsid w:val="009B4DF4"/>
    <w:rsid w:val="009B513B"/>
    <w:rsid w:val="009B564E"/>
    <w:rsid w:val="009B7E87"/>
    <w:rsid w:val="009C403E"/>
    <w:rsid w:val="009C4EA4"/>
    <w:rsid w:val="009C6832"/>
    <w:rsid w:val="009D18EA"/>
    <w:rsid w:val="009D3317"/>
    <w:rsid w:val="009D4FF0"/>
    <w:rsid w:val="009D703C"/>
    <w:rsid w:val="009D718F"/>
    <w:rsid w:val="009E068F"/>
    <w:rsid w:val="009E14E0"/>
    <w:rsid w:val="009E35DB"/>
    <w:rsid w:val="009E47A3"/>
    <w:rsid w:val="009F08F3"/>
    <w:rsid w:val="009F344F"/>
    <w:rsid w:val="00A031D8"/>
    <w:rsid w:val="00A03C9B"/>
    <w:rsid w:val="00A048A8"/>
    <w:rsid w:val="00A04F49"/>
    <w:rsid w:val="00A11035"/>
    <w:rsid w:val="00A11760"/>
    <w:rsid w:val="00A12845"/>
    <w:rsid w:val="00A12EB0"/>
    <w:rsid w:val="00A13E54"/>
    <w:rsid w:val="00A15745"/>
    <w:rsid w:val="00A17F63"/>
    <w:rsid w:val="00A2193B"/>
    <w:rsid w:val="00A2351A"/>
    <w:rsid w:val="00A264A9"/>
    <w:rsid w:val="00A27785"/>
    <w:rsid w:val="00A30187"/>
    <w:rsid w:val="00A3448A"/>
    <w:rsid w:val="00A36297"/>
    <w:rsid w:val="00A41E2B"/>
    <w:rsid w:val="00A45104"/>
    <w:rsid w:val="00A45B74"/>
    <w:rsid w:val="00A52E1D"/>
    <w:rsid w:val="00A543E3"/>
    <w:rsid w:val="00A577E3"/>
    <w:rsid w:val="00A61499"/>
    <w:rsid w:val="00A6190E"/>
    <w:rsid w:val="00A62A77"/>
    <w:rsid w:val="00A63483"/>
    <w:rsid w:val="00A657D7"/>
    <w:rsid w:val="00A660AC"/>
    <w:rsid w:val="00A67E6C"/>
    <w:rsid w:val="00A71B99"/>
    <w:rsid w:val="00A739D0"/>
    <w:rsid w:val="00A761D4"/>
    <w:rsid w:val="00A77EC4"/>
    <w:rsid w:val="00A85C6C"/>
    <w:rsid w:val="00A85EF6"/>
    <w:rsid w:val="00A92879"/>
    <w:rsid w:val="00A92F7A"/>
    <w:rsid w:val="00A9442A"/>
    <w:rsid w:val="00AA016F"/>
    <w:rsid w:val="00AA1ED6"/>
    <w:rsid w:val="00AA51D6"/>
    <w:rsid w:val="00AB0BC8"/>
    <w:rsid w:val="00AB11CA"/>
    <w:rsid w:val="00AB14D9"/>
    <w:rsid w:val="00AB1F96"/>
    <w:rsid w:val="00AB4AB8"/>
    <w:rsid w:val="00AB655E"/>
    <w:rsid w:val="00AC007F"/>
    <w:rsid w:val="00AC2ECD"/>
    <w:rsid w:val="00AC3119"/>
    <w:rsid w:val="00AC33D9"/>
    <w:rsid w:val="00AC37F8"/>
    <w:rsid w:val="00AC49FB"/>
    <w:rsid w:val="00AC5A10"/>
    <w:rsid w:val="00AC6A74"/>
    <w:rsid w:val="00AC7789"/>
    <w:rsid w:val="00AD0AA3"/>
    <w:rsid w:val="00AD3F94"/>
    <w:rsid w:val="00AD4A5A"/>
    <w:rsid w:val="00AE12B0"/>
    <w:rsid w:val="00AE27AC"/>
    <w:rsid w:val="00AE2FEB"/>
    <w:rsid w:val="00AE40E0"/>
    <w:rsid w:val="00AE4DBA"/>
    <w:rsid w:val="00AE4F07"/>
    <w:rsid w:val="00AF0198"/>
    <w:rsid w:val="00AF1C5D"/>
    <w:rsid w:val="00AF42D7"/>
    <w:rsid w:val="00B006FE"/>
    <w:rsid w:val="00B007CB"/>
    <w:rsid w:val="00B02AA9"/>
    <w:rsid w:val="00B02FA3"/>
    <w:rsid w:val="00B03374"/>
    <w:rsid w:val="00B04B95"/>
    <w:rsid w:val="00B05084"/>
    <w:rsid w:val="00B157F9"/>
    <w:rsid w:val="00B20256"/>
    <w:rsid w:val="00B20D09"/>
    <w:rsid w:val="00B2763F"/>
    <w:rsid w:val="00B27AAC"/>
    <w:rsid w:val="00B30929"/>
    <w:rsid w:val="00B372AA"/>
    <w:rsid w:val="00B40445"/>
    <w:rsid w:val="00B4072C"/>
    <w:rsid w:val="00B41888"/>
    <w:rsid w:val="00B45A52"/>
    <w:rsid w:val="00B46175"/>
    <w:rsid w:val="00B510C9"/>
    <w:rsid w:val="00B664C7"/>
    <w:rsid w:val="00B739F6"/>
    <w:rsid w:val="00B75A51"/>
    <w:rsid w:val="00B81A6C"/>
    <w:rsid w:val="00B83AB1"/>
    <w:rsid w:val="00B85DE5"/>
    <w:rsid w:val="00B90F73"/>
    <w:rsid w:val="00B93B59"/>
    <w:rsid w:val="00B9406A"/>
    <w:rsid w:val="00B94DB0"/>
    <w:rsid w:val="00BA2280"/>
    <w:rsid w:val="00BA2A08"/>
    <w:rsid w:val="00BA56D2"/>
    <w:rsid w:val="00BA76E0"/>
    <w:rsid w:val="00BB2A25"/>
    <w:rsid w:val="00BB51E9"/>
    <w:rsid w:val="00BC0DF2"/>
    <w:rsid w:val="00BC0FDC"/>
    <w:rsid w:val="00BC3053"/>
    <w:rsid w:val="00BC4D2E"/>
    <w:rsid w:val="00BD48AC"/>
    <w:rsid w:val="00BD5F1A"/>
    <w:rsid w:val="00BD66A2"/>
    <w:rsid w:val="00BE1234"/>
    <w:rsid w:val="00BE2FA6"/>
    <w:rsid w:val="00BE333F"/>
    <w:rsid w:val="00BE559B"/>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441B8"/>
    <w:rsid w:val="00C44414"/>
    <w:rsid w:val="00C44C63"/>
    <w:rsid w:val="00C45E71"/>
    <w:rsid w:val="00C54995"/>
    <w:rsid w:val="00C54D41"/>
    <w:rsid w:val="00C54E08"/>
    <w:rsid w:val="00C60783"/>
    <w:rsid w:val="00C624B8"/>
    <w:rsid w:val="00C64672"/>
    <w:rsid w:val="00C70697"/>
    <w:rsid w:val="00C72EF4"/>
    <w:rsid w:val="00C75D2F"/>
    <w:rsid w:val="00C767BE"/>
    <w:rsid w:val="00C76E3C"/>
    <w:rsid w:val="00C8107C"/>
    <w:rsid w:val="00C81568"/>
    <w:rsid w:val="00C87563"/>
    <w:rsid w:val="00C9027A"/>
    <w:rsid w:val="00C9068E"/>
    <w:rsid w:val="00C93C4B"/>
    <w:rsid w:val="00C944AB"/>
    <w:rsid w:val="00C95B40"/>
    <w:rsid w:val="00C976AF"/>
    <w:rsid w:val="00CA1068"/>
    <w:rsid w:val="00CA144C"/>
    <w:rsid w:val="00CA1ED8"/>
    <w:rsid w:val="00CA2417"/>
    <w:rsid w:val="00CB1F63"/>
    <w:rsid w:val="00CB7064"/>
    <w:rsid w:val="00CB7170"/>
    <w:rsid w:val="00CC040E"/>
    <w:rsid w:val="00CC111F"/>
    <w:rsid w:val="00CC2011"/>
    <w:rsid w:val="00CC3EA0"/>
    <w:rsid w:val="00CC7B45"/>
    <w:rsid w:val="00CD0D9B"/>
    <w:rsid w:val="00CD1188"/>
    <w:rsid w:val="00CD2ED1"/>
    <w:rsid w:val="00CD337B"/>
    <w:rsid w:val="00CD4152"/>
    <w:rsid w:val="00CE0424"/>
    <w:rsid w:val="00CE7561"/>
    <w:rsid w:val="00CF1354"/>
    <w:rsid w:val="00CF3B1F"/>
    <w:rsid w:val="00CF3BF6"/>
    <w:rsid w:val="00CF5B44"/>
    <w:rsid w:val="00CF625B"/>
    <w:rsid w:val="00CF687E"/>
    <w:rsid w:val="00D0349B"/>
    <w:rsid w:val="00D03D19"/>
    <w:rsid w:val="00D10249"/>
    <w:rsid w:val="00D115C3"/>
    <w:rsid w:val="00D11897"/>
    <w:rsid w:val="00D13135"/>
    <w:rsid w:val="00D13E4E"/>
    <w:rsid w:val="00D15456"/>
    <w:rsid w:val="00D239A7"/>
    <w:rsid w:val="00D23F47"/>
    <w:rsid w:val="00D36E71"/>
    <w:rsid w:val="00D37D87"/>
    <w:rsid w:val="00D40B33"/>
    <w:rsid w:val="00D41E80"/>
    <w:rsid w:val="00D42829"/>
    <w:rsid w:val="00D4318F"/>
    <w:rsid w:val="00D438BF"/>
    <w:rsid w:val="00D440F8"/>
    <w:rsid w:val="00D546FF"/>
    <w:rsid w:val="00D55AD5"/>
    <w:rsid w:val="00D576CA"/>
    <w:rsid w:val="00D579F1"/>
    <w:rsid w:val="00D604CB"/>
    <w:rsid w:val="00D61AF5"/>
    <w:rsid w:val="00D652B5"/>
    <w:rsid w:val="00D66155"/>
    <w:rsid w:val="00D708B0"/>
    <w:rsid w:val="00D77B1D"/>
    <w:rsid w:val="00D8021F"/>
    <w:rsid w:val="00D80383"/>
    <w:rsid w:val="00D823C6"/>
    <w:rsid w:val="00D825A6"/>
    <w:rsid w:val="00D86CA3"/>
    <w:rsid w:val="00D871CE"/>
    <w:rsid w:val="00D9196D"/>
    <w:rsid w:val="00D92982"/>
    <w:rsid w:val="00DA1D5E"/>
    <w:rsid w:val="00DA305E"/>
    <w:rsid w:val="00DA3607"/>
    <w:rsid w:val="00DA5417"/>
    <w:rsid w:val="00DA56E8"/>
    <w:rsid w:val="00DB0A9F"/>
    <w:rsid w:val="00DB377D"/>
    <w:rsid w:val="00DC2639"/>
    <w:rsid w:val="00DC2D36"/>
    <w:rsid w:val="00DC53EF"/>
    <w:rsid w:val="00DD030B"/>
    <w:rsid w:val="00DE5608"/>
    <w:rsid w:val="00DE58D0"/>
    <w:rsid w:val="00DE63D2"/>
    <w:rsid w:val="00DE654F"/>
    <w:rsid w:val="00DF0B6E"/>
    <w:rsid w:val="00DF15E0"/>
    <w:rsid w:val="00DF37A0"/>
    <w:rsid w:val="00DF7316"/>
    <w:rsid w:val="00E062CC"/>
    <w:rsid w:val="00E110E7"/>
    <w:rsid w:val="00E11B20"/>
    <w:rsid w:val="00E17FA2"/>
    <w:rsid w:val="00E22330"/>
    <w:rsid w:val="00E30B5A"/>
    <w:rsid w:val="00E3123D"/>
    <w:rsid w:val="00E31461"/>
    <w:rsid w:val="00E31D43"/>
    <w:rsid w:val="00E325EE"/>
    <w:rsid w:val="00E32608"/>
    <w:rsid w:val="00E34188"/>
    <w:rsid w:val="00E34B6E"/>
    <w:rsid w:val="00E35559"/>
    <w:rsid w:val="00E3723A"/>
    <w:rsid w:val="00E37860"/>
    <w:rsid w:val="00E446F1"/>
    <w:rsid w:val="00E46886"/>
    <w:rsid w:val="00E47436"/>
    <w:rsid w:val="00E47AEF"/>
    <w:rsid w:val="00E53B75"/>
    <w:rsid w:val="00E54E3B"/>
    <w:rsid w:val="00E5689D"/>
    <w:rsid w:val="00E57565"/>
    <w:rsid w:val="00E63838"/>
    <w:rsid w:val="00E64434"/>
    <w:rsid w:val="00E64B80"/>
    <w:rsid w:val="00E67C51"/>
    <w:rsid w:val="00E72EFC"/>
    <w:rsid w:val="00E757B6"/>
    <w:rsid w:val="00E758EC"/>
    <w:rsid w:val="00E77629"/>
    <w:rsid w:val="00E77C7D"/>
    <w:rsid w:val="00E8234C"/>
    <w:rsid w:val="00E83AA9"/>
    <w:rsid w:val="00E85928"/>
    <w:rsid w:val="00E85A3A"/>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0155"/>
    <w:rsid w:val="00ED1006"/>
    <w:rsid w:val="00EE59C8"/>
    <w:rsid w:val="00EF18FE"/>
    <w:rsid w:val="00EF2E10"/>
    <w:rsid w:val="00EF5787"/>
    <w:rsid w:val="00EF60D0"/>
    <w:rsid w:val="00F0528D"/>
    <w:rsid w:val="00F06C67"/>
    <w:rsid w:val="00F06DFD"/>
    <w:rsid w:val="00F071D1"/>
    <w:rsid w:val="00F07533"/>
    <w:rsid w:val="00F07F29"/>
    <w:rsid w:val="00F10629"/>
    <w:rsid w:val="00F135CB"/>
    <w:rsid w:val="00F15FA5"/>
    <w:rsid w:val="00F209B7"/>
    <w:rsid w:val="00F232F3"/>
    <w:rsid w:val="00F2376F"/>
    <w:rsid w:val="00F243D8"/>
    <w:rsid w:val="00F30828"/>
    <w:rsid w:val="00F313D6"/>
    <w:rsid w:val="00F40F0C"/>
    <w:rsid w:val="00F4766C"/>
    <w:rsid w:val="00F5060E"/>
    <w:rsid w:val="00F507D1"/>
    <w:rsid w:val="00F519C4"/>
    <w:rsid w:val="00F519CE"/>
    <w:rsid w:val="00F51ADA"/>
    <w:rsid w:val="00F54B88"/>
    <w:rsid w:val="00F607C5"/>
    <w:rsid w:val="00F60DEA"/>
    <w:rsid w:val="00F6302A"/>
    <w:rsid w:val="00F64C2B"/>
    <w:rsid w:val="00F651BE"/>
    <w:rsid w:val="00F65406"/>
    <w:rsid w:val="00F67F53"/>
    <w:rsid w:val="00F703BE"/>
    <w:rsid w:val="00F71F69"/>
    <w:rsid w:val="00F72B72"/>
    <w:rsid w:val="00F747AF"/>
    <w:rsid w:val="00F74BB9"/>
    <w:rsid w:val="00F75582"/>
    <w:rsid w:val="00F76EFA"/>
    <w:rsid w:val="00F804BE"/>
    <w:rsid w:val="00F817CE"/>
    <w:rsid w:val="00F8456C"/>
    <w:rsid w:val="00F85293"/>
    <w:rsid w:val="00F859D8"/>
    <w:rsid w:val="00F868F5"/>
    <w:rsid w:val="00F9056A"/>
    <w:rsid w:val="00F90F8D"/>
    <w:rsid w:val="00F92782"/>
    <w:rsid w:val="00F93AA9"/>
    <w:rsid w:val="00F95CD2"/>
    <w:rsid w:val="00F96985"/>
    <w:rsid w:val="00F97838"/>
    <w:rsid w:val="00FA0ABD"/>
    <w:rsid w:val="00FA2BB3"/>
    <w:rsid w:val="00FB4417"/>
    <w:rsid w:val="00FB4C80"/>
    <w:rsid w:val="00FB6A6A"/>
    <w:rsid w:val="00FC24FD"/>
    <w:rsid w:val="00FC7429"/>
    <w:rsid w:val="00FD07F6"/>
    <w:rsid w:val="00FD1EC8"/>
    <w:rsid w:val="00FD2926"/>
    <w:rsid w:val="00FD47ED"/>
    <w:rsid w:val="00FD74DB"/>
    <w:rsid w:val="00FD7660"/>
    <w:rsid w:val="00FE0655"/>
    <w:rsid w:val="00FE2365"/>
    <w:rsid w:val="00FE37D7"/>
    <w:rsid w:val="00FE4063"/>
    <w:rsid w:val="00FE4C7B"/>
    <w:rsid w:val="00FE7336"/>
    <w:rsid w:val="00FE787C"/>
    <w:rsid w:val="00FF0EC8"/>
    <w:rsid w:val="00FF45A5"/>
    <w:rsid w:val="00FF594F"/>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1488"/>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CD0D9B"/>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rsid w:val="0088148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81488"/>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rFonts w:ascii="Arial" w:hAnsi="Arial"/>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link w:val="B1Zchn"/>
    <w:rsid w:val="00CD0D9B"/>
    <w:pPr>
      <w:spacing w:after="180"/>
    </w:pPr>
  </w:style>
  <w:style w:type="paragraph" w:customStyle="1" w:styleId="B2">
    <w:name w:val="B2"/>
    <w:basedOn w:val="List2"/>
    <w:rsid w:val="00CD0D9B"/>
    <w:pPr>
      <w:spacing w:after="180"/>
    </w:pPr>
  </w:style>
  <w:style w:type="paragraph" w:customStyle="1" w:styleId="B3">
    <w:name w:val="B3"/>
    <w:basedOn w:val="List3"/>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rsid w:val="00CD0D9B"/>
    <w:pPr>
      <w:keepNext/>
      <w:keepLines/>
      <w:spacing w:after="0"/>
    </w:pPr>
    <w:rPr>
      <w:sz w:val="18"/>
    </w:rPr>
  </w:style>
  <w:style w:type="paragraph" w:customStyle="1" w:styleId="TAC">
    <w:name w:val="TAC"/>
    <w:basedOn w:val="TAL"/>
    <w:link w:val="TACChar"/>
    <w:rsid w:val="00CD0D9B"/>
    <w:pPr>
      <w:jc w:val="center"/>
    </w:pPr>
  </w:style>
  <w:style w:type="paragraph" w:customStyle="1" w:styleId="TAH">
    <w:name w:val="TAH"/>
    <w:basedOn w:val="TAC"/>
    <w:link w:val="TAHCar"/>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rsid w:val="00CD0D9B"/>
    <w:pPr>
      <w:keepNext/>
      <w:keepLines/>
      <w:spacing w:before="60" w:after="180"/>
      <w:jc w:val="center"/>
    </w:pPr>
    <w:rPr>
      <w:b/>
    </w:rPr>
  </w:style>
  <w:style w:type="paragraph" w:customStyle="1" w:styleId="TF">
    <w:name w:val="TF"/>
    <w:basedOn w:val="TH"/>
    <w:link w:val="TFChar"/>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pPr>
  </w:style>
  <w:style w:type="paragraph" w:customStyle="1" w:styleId="Observation">
    <w:name w:val="Observation"/>
    <w:basedOn w:val="Proposal"/>
    <w:qFormat/>
    <w:rsid w:val="00CD0D9B"/>
    <w:pPr>
      <w:numPr>
        <w:numId w:val="13"/>
      </w:numPr>
      <w:ind w:left="1701" w:hanging="1701"/>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customStyle="1" w:styleId="B1Zchn">
    <w:name w:val="B1 Zchn"/>
    <w:basedOn w:val="DefaultParagraphFont"/>
    <w:link w:val="B1"/>
    <w:locked/>
    <w:rsid w:val="002074FE"/>
    <w:rPr>
      <w:rFonts w:ascii="Times New Roman" w:hAnsi="Times New Roman"/>
      <w:lang w:val="en-GB"/>
    </w:rPr>
  </w:style>
  <w:style w:type="character" w:customStyle="1" w:styleId="THChar">
    <w:name w:val="TH Char"/>
    <w:link w:val="TH"/>
    <w:rsid w:val="00D15456"/>
    <w:rPr>
      <w:rFonts w:ascii="Times New Roman" w:hAnsi="Times New Roman"/>
      <w:b/>
      <w:lang w:val="en-GB"/>
    </w:rPr>
  </w:style>
  <w:style w:type="character" w:customStyle="1" w:styleId="TACChar">
    <w:name w:val="TAC Char"/>
    <w:link w:val="TAC"/>
    <w:locked/>
    <w:rsid w:val="00D15456"/>
    <w:rPr>
      <w:rFonts w:ascii="Times New Roman" w:hAnsi="Times New Roman"/>
      <w:sz w:val="18"/>
      <w:lang w:val="en-GB"/>
    </w:rPr>
  </w:style>
  <w:style w:type="character" w:customStyle="1" w:styleId="TAHCar">
    <w:name w:val="TAH Car"/>
    <w:link w:val="TAH"/>
    <w:rsid w:val="00D15456"/>
    <w:rPr>
      <w:rFonts w:ascii="Times New Roman" w:hAnsi="Times New Roman"/>
      <w:b/>
      <w:sz w:val="18"/>
      <w:lang w:val="en-GB"/>
    </w:rPr>
  </w:style>
  <w:style w:type="character" w:styleId="PlaceholderText">
    <w:name w:val="Placeholder Text"/>
    <w:basedOn w:val="DefaultParagraphFont"/>
    <w:uiPriority w:val="99"/>
    <w:semiHidden/>
    <w:rsid w:val="00E47436"/>
    <w:rPr>
      <w:color w:val="808080"/>
    </w:rPr>
  </w:style>
  <w:style w:type="paragraph" w:styleId="NormalWeb">
    <w:name w:val="Normal (Web)"/>
    <w:basedOn w:val="Normal"/>
    <w:uiPriority w:val="99"/>
    <w:semiHidden/>
    <w:unhideWhenUsed/>
    <w:rsid w:val="0063440A"/>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TFChar">
    <w:name w:val="TF Char"/>
    <w:link w:val="TF"/>
    <w:rsid w:val="00F85293"/>
    <w:rPr>
      <w:rFonts w:asciiTheme="minorHAnsi" w:eastAsiaTheme="minorHAnsi" w:hAnsiTheme="minorHAnsi" w:cstheme="minorBidi"/>
      <w:b/>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998307">
      <w:bodyDiv w:val="1"/>
      <w:marLeft w:val="0"/>
      <w:marRight w:val="0"/>
      <w:marTop w:val="0"/>
      <w:marBottom w:val="0"/>
      <w:divBdr>
        <w:top w:val="none" w:sz="0" w:space="0" w:color="auto"/>
        <w:left w:val="none" w:sz="0" w:space="0" w:color="auto"/>
        <w:bottom w:val="none" w:sz="0" w:space="0" w:color="auto"/>
        <w:right w:val="none" w:sz="0" w:space="0" w:color="auto"/>
      </w:divBdr>
      <w:divsChild>
        <w:div w:id="544415428">
          <w:marLeft w:val="274"/>
          <w:marRight w:val="0"/>
          <w:marTop w:val="115"/>
          <w:marBottom w:val="0"/>
          <w:divBdr>
            <w:top w:val="none" w:sz="0" w:space="0" w:color="auto"/>
            <w:left w:val="none" w:sz="0" w:space="0" w:color="auto"/>
            <w:bottom w:val="none" w:sz="0" w:space="0" w:color="auto"/>
            <w:right w:val="none" w:sz="0" w:space="0" w:color="auto"/>
          </w:divBdr>
        </w:div>
        <w:div w:id="1139768155">
          <w:marLeft w:val="274"/>
          <w:marRight w:val="0"/>
          <w:marTop w:val="115"/>
          <w:marBottom w:val="0"/>
          <w:divBdr>
            <w:top w:val="none" w:sz="0" w:space="0" w:color="auto"/>
            <w:left w:val="none" w:sz="0" w:space="0" w:color="auto"/>
            <w:bottom w:val="none" w:sz="0" w:space="0" w:color="auto"/>
            <w:right w:val="none" w:sz="0" w:space="0" w:color="auto"/>
          </w:divBdr>
        </w:div>
        <w:div w:id="177156065">
          <w:marLeft w:val="274"/>
          <w:marRight w:val="0"/>
          <w:marTop w:val="115"/>
          <w:marBottom w:val="0"/>
          <w:divBdr>
            <w:top w:val="none" w:sz="0" w:space="0" w:color="auto"/>
            <w:left w:val="none" w:sz="0" w:space="0" w:color="auto"/>
            <w:bottom w:val="none" w:sz="0" w:space="0" w:color="auto"/>
            <w:right w:val="none" w:sz="0" w:space="0" w:color="auto"/>
          </w:divBdr>
        </w:div>
        <w:div w:id="844055513">
          <w:marLeft w:val="274"/>
          <w:marRight w:val="0"/>
          <w:marTop w:val="115"/>
          <w:marBottom w:val="0"/>
          <w:divBdr>
            <w:top w:val="none" w:sz="0" w:space="0" w:color="auto"/>
            <w:left w:val="none" w:sz="0" w:space="0" w:color="auto"/>
            <w:bottom w:val="none" w:sz="0" w:space="0" w:color="auto"/>
            <w:right w:val="none" w:sz="0" w:space="0" w:color="auto"/>
          </w:divBdr>
        </w:div>
        <w:div w:id="322895945">
          <w:marLeft w:val="274"/>
          <w:marRight w:val="0"/>
          <w:marTop w:val="115"/>
          <w:marBottom w:val="0"/>
          <w:divBdr>
            <w:top w:val="none" w:sz="0" w:space="0" w:color="auto"/>
            <w:left w:val="none" w:sz="0" w:space="0" w:color="auto"/>
            <w:bottom w:val="none" w:sz="0" w:space="0" w:color="auto"/>
            <w:right w:val="none" w:sz="0" w:space="0" w:color="auto"/>
          </w:divBdr>
        </w:div>
      </w:divsChild>
    </w:div>
    <w:div w:id="568537555">
      <w:bodyDiv w:val="1"/>
      <w:marLeft w:val="0"/>
      <w:marRight w:val="0"/>
      <w:marTop w:val="0"/>
      <w:marBottom w:val="0"/>
      <w:divBdr>
        <w:top w:val="none" w:sz="0" w:space="0" w:color="auto"/>
        <w:left w:val="none" w:sz="0" w:space="0" w:color="auto"/>
        <w:bottom w:val="none" w:sz="0" w:space="0" w:color="auto"/>
        <w:right w:val="none" w:sz="0" w:space="0" w:color="auto"/>
      </w:divBdr>
    </w:div>
    <w:div w:id="659893818">
      <w:bodyDiv w:val="1"/>
      <w:marLeft w:val="0"/>
      <w:marRight w:val="0"/>
      <w:marTop w:val="0"/>
      <w:marBottom w:val="0"/>
      <w:divBdr>
        <w:top w:val="none" w:sz="0" w:space="0" w:color="auto"/>
        <w:left w:val="none" w:sz="0" w:space="0" w:color="auto"/>
        <w:bottom w:val="none" w:sz="0" w:space="0" w:color="auto"/>
        <w:right w:val="none" w:sz="0" w:space="0" w:color="auto"/>
      </w:divBdr>
      <w:divsChild>
        <w:div w:id="2017879699">
          <w:marLeft w:val="274"/>
          <w:marRight w:val="0"/>
          <w:marTop w:val="115"/>
          <w:marBottom w:val="0"/>
          <w:divBdr>
            <w:top w:val="none" w:sz="0" w:space="0" w:color="auto"/>
            <w:left w:val="none" w:sz="0" w:space="0" w:color="auto"/>
            <w:bottom w:val="none" w:sz="0" w:space="0" w:color="auto"/>
            <w:right w:val="none" w:sz="0" w:space="0" w:color="auto"/>
          </w:divBdr>
        </w:div>
        <w:div w:id="366876072">
          <w:marLeft w:val="274"/>
          <w:marRight w:val="0"/>
          <w:marTop w:val="115"/>
          <w:marBottom w:val="0"/>
          <w:divBdr>
            <w:top w:val="none" w:sz="0" w:space="0" w:color="auto"/>
            <w:left w:val="none" w:sz="0" w:space="0" w:color="auto"/>
            <w:bottom w:val="none" w:sz="0" w:space="0" w:color="auto"/>
            <w:right w:val="none" w:sz="0" w:space="0" w:color="auto"/>
          </w:divBdr>
        </w:div>
        <w:div w:id="1884638868">
          <w:marLeft w:val="274"/>
          <w:marRight w:val="0"/>
          <w:marTop w:val="115"/>
          <w:marBottom w:val="0"/>
          <w:divBdr>
            <w:top w:val="none" w:sz="0" w:space="0" w:color="auto"/>
            <w:left w:val="none" w:sz="0" w:space="0" w:color="auto"/>
            <w:bottom w:val="none" w:sz="0" w:space="0" w:color="auto"/>
            <w:right w:val="none" w:sz="0" w:space="0" w:color="auto"/>
          </w:divBdr>
        </w:div>
      </w:divsChild>
    </w:div>
    <w:div w:id="1607424263">
      <w:bodyDiv w:val="1"/>
      <w:marLeft w:val="0"/>
      <w:marRight w:val="0"/>
      <w:marTop w:val="0"/>
      <w:marBottom w:val="0"/>
      <w:divBdr>
        <w:top w:val="none" w:sz="0" w:space="0" w:color="auto"/>
        <w:left w:val="none" w:sz="0" w:space="0" w:color="auto"/>
        <w:bottom w:val="none" w:sz="0" w:space="0" w:color="auto"/>
        <w:right w:val="none" w:sz="0" w:space="0" w:color="auto"/>
      </w:divBdr>
      <w:divsChild>
        <w:div w:id="914701342">
          <w:marLeft w:val="274"/>
          <w:marRight w:val="0"/>
          <w:marTop w:val="115"/>
          <w:marBottom w:val="0"/>
          <w:divBdr>
            <w:top w:val="none" w:sz="0" w:space="0" w:color="auto"/>
            <w:left w:val="none" w:sz="0" w:space="0" w:color="auto"/>
            <w:bottom w:val="none" w:sz="0" w:space="0" w:color="auto"/>
            <w:right w:val="none" w:sz="0" w:space="0" w:color="auto"/>
          </w:divBdr>
        </w:div>
      </w:divsChild>
    </w:div>
    <w:div w:id="1805073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cid:image005.png@01D1B807.4DDB891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E9C74F-21FB-4A09-8189-5681ED4FD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1786</Words>
  <Characters>10184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2018-02-16T09:08:00Z</dcterms:created>
  <dcterms:modified xsi:type="dcterms:W3CDTF">2018-05-09T07:54:00Z</dcterms:modified>
</cp:coreProperties>
</file>